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舟山市信用评级报告(区域部分)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舟山作为浙江省下辖地级市，经济总量列浙江省第十位，人均GDP约19.90万元、人均经济实力居全省前列，经济增速由8.30%回落至6.60%、有所放缓；固定资产投资最新增速0.60%，经济运行总体平稳。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舟山市2023、2024、2025年地区生产总值分别为2,115.30亿元、2,221.60亿元、2,346.10亿元，同比增长8.30%、5.90%、6.60%。截至2025年末，全市常住人口118.10万人，人均GDP约19.90万元。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产业结构方面，2025年舟山市三次产业结构为9.5:42.1:48.4，第三产业占主导、服务业是经济主体。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2023、2024、2025年固定资产投资增速分别为8.10%、4.70%、0.60%，2025年社会消费品零售总额603.60亿元，进出口总额498.71亿美元。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舟山市2025年GDP总量2,346.10亿元、列全省第十位，一般公共预算收入217.52亿元、列全省第九位。整体来看，舟山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舟山市财政体量在浙江省处于中游，税收占比66.80%、税收质量较好，但政府性基金收入总体平稳；2025年末宽口径债务率520.69%、处于偏高水平，已显著高于公认的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舟山市一般公共预算收入分别为193.51亿元、207.11亿元、217.52亿元，其中税收收入139.01亿元、140.00亿元、145.30亿元，税收占比维持在71.84%、67.60%、66.80%；一般公共预算支出376.51亿元、383.15亿元、381.20亿元，财政自给率51.40%、54.05%、57.06%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政府性基金收入方面，2023、2024、2025年分别为89.74亿元、84.18亿元、89.39亿元，政府性基金收入总体平稳，反映地方综合财力对房地产周期的敞口。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图表：2023-2025年舟山市财政收入情况(单位:亿元、%)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资料来源:舟山市财政决算、企业预警通,风控信评部整理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土地市场方面，【待补充:舟山市土地出让与房地产销售数据（土地市场数据库未覆盖该市）】。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舟山市地方政府债务余额分别为627.64亿元、684.68亿元、778.05亿元，2025年末债务限额778.09亿元，债务余额控制在限额以内；城投有息债务2025年末估算余额2,235.78亿元。债务率指标看，2025年末政府债务率134.42%、城投债务率386.27%、宽口径债务率520.69%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舟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