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金华市信用评级报告(区域部分)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金华作为浙江省下辖地级市，经济总量列浙江省第六位，人均GDP约10.10万元、人均经济实力在省内相对靠后，经济增速由6.80%回落至6.32%、有所放缓；固定资产投资最新增速1.00%，经济运行总体平稳。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金华市2023、2024、2025年地区生产总值分别为6,489.63亿元、6,926.00亿元、7,313.47亿元，同比增长6.80%、6.30%、6.32%。截至2025年末，全市常住人口726.90万人，人均GDP约10.10万元。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产业结构方面，2025年金华市三次产业结构为2.3:37.4:60.3，第三产业占主导、服务业是经济主体。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2023、2024、2025年固定资产投资增速分别为18.50%、5.30%、1.00%，2025年社会消费品零售总额4,826.50亿元，进出口总额1,471.20亿美元。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金华市2025年GDP总量7,313.47亿元、列全省第六位，一般公共预算收入555.63亿元、列全省第六位。整体来看，金华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金华市财政体量在浙江省处于中游，税收占比81.53%、税收质量较好，但政府性基金收入较2023年累计下降37%、土地财政贡献度弱化；2025年末宽口径债务率492.20%、处于偏高水平，已显著高于公认的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金华市一般公共预算收入分别为525.80亿元、536.80亿元、555.63亿元，其中税收收入452.48亿元、439.88亿元、453.02亿元，税收占比维持在86.06%、81.94%、81.53%；一般公共预算支出848.48亿元、898.47亿元、907.64亿元，财政自给率61.97%、59.75%、61.22%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政府性基金收入方面，2023、2024、2025年分别为859.98亿元、574.87亿元、541.78亿元，政府性基金收入较2023年累计下降37%、土地财政贡献度弱化，反映地方综合财力对房地产周期的敞口。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图表：2023-2025年金华市财政收入情况(单位:亿元、%)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452.48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848.48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898.47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907.64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-33.15%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-5.76%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资料来源:金华市财政决算、企业预警通,风控信评部整理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土地市场方面，【待补充:金华市土地出让与房地产销售数据（土地市场数据库未覆盖该市）】。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金华市地方政府债务余额分别为1,690.59亿元、2,168.16亿元、2,678.08亿元，2025年末债务限额2,678.17亿元，债务余额控制在限额以内；城投有息债务2025年末估算余额6,280.16亿元。债务率指标看，2025年末政府债务率147.14%、城投债务率345.05%、宽口径债务率492.20%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金华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