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十堰市信用评级报告(区域部分)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十堰作为湖北省下辖地级市，经济总量列湖北省第七位，人均GDP约8.63万元、人均经济实力居全省中游，经济增速维持在6.40%左右、总体平稳；固定资产投资最新增速4.70%，经济运行总体平稳。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十堰市2023、2024、2025年地区生产总值分别为2,408.79亿元、2,565.84亿元、2,704.80亿元，同比增长6.70%、6.48%、6.40%。截至2025年末，全市常住人口312.45万人，人均GDP约8.63万元。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产业结构方面，2025年十堰市三次产业结构为9:36.2:54.8，第三产业占主导、服务业是经济主体。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2023、2024、2025年固定资产投资增速分别为5.60%、8.20%、4.70%，2025年社会消费品零售总额1,619.00亿元，进出口总额25.15亿美元。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十堰市2025年GDP总量2,704.80亿元、列全省第七位，一般公共预算收入168.18亿元、列全省第八位。整体来看，十堰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十堰市财政体量在湖北省处于中游，税收占比65.73%、税收质量较好，但政府性基金收入总体平稳；2025年末宽口径债务率679.10%、处于偏高水平，已显著高于公认的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十堰市一般公共预算收入分别为139.42亿元、154.55亿元、168.18亿元，其中税收收入97.84亿元、100.46亿元、110.55亿元，税收占比维持在70.17%、65.00%、65.73%；一般公共预算支出458.15亿元、519.01亿元、513.14亿元，财政自给率30.43%、29.78%、32.77%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政府性基金收入方面，2023、2024、2025年分别为92.96亿元、99.01亿元、93.70亿元，政府性基金收入总体平稳，反映地方综合财力对房地产周期的敞口。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图表：2023-2025年十堰市财政收入情况(单位:亿元、%)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513.14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资料来源:十堰市财政决算、企业预警通,风控信评部整理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土地市场方面，【待补充:十堰市土地出让与房地产销售数据（土地市场数据库未覆盖该市）】。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十堰市地方政府债务余额分别为691.01亿元、886.63亿元、1,047.60亿元，2025年末债务限额1,122.47亿元，债务余额控制在限额以内；城投有息债务2025年末估算余额760.49亿元。债务率指标看，2025年末政府债务率393.47%、城投债务率285.63%、宽口径债务率679.10%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十堰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