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孝感市信用评级报告(区域部分)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孝感作为湖北省下辖地级市，经济总量列湖北省第五位，人均经济实力居省内中游，经济增速由7.30%回落至5.70%、有所放缓；固定资产投资最新增速4.50%，经济运行总体平稳。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孝感市2023、2024、2025年地区生产总值分别为3,051.05亿元、3,258.54亿元、3,398.86亿元，同比增长7.30%、6.97%、5.70%。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产业结构方面，孝感作为湖北省下辖地级市，区域产业结构以本地优势产业为主。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2023、2024、2025年固定资产投资增速分别为9.40%、8.60%、4.50%，2025年社会消费品零售总额1,646.41亿元，进出口总额38.28亿美元。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孝感市2025年GDP总量3,398.86亿元、列全省第五位，一般公共预算收入209.31亿元、列全省第五位。整体来看，孝感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孝感市财政体量在湖北省处于中游，税收占比72.83%、税收质量较好，但政府性基金收入总体平稳；2025年末宽口径债务率806.14%、处于偏高水平，已显著高于公认的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孝感市一般公共预算收入分别为162.52亿元、184.95亿元、209.31亿元，其中税收收入129.44亿元、140.74亿元、152.43亿元，税收占比维持在79.64%、76.09%、72.83%；一般公共预算支出459.22亿元、512.86亿元、478.86亿元，财政自给率35.39%、36.06%、43.71%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政府性基金收入方面，2023、2024年分别为93.92亿元、95.26亿元，政府性基金收入总体平稳，反映地方综合财力对房地产周期的敞口。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图表：2023-2025年孝感市财政收入情况(单位:亿元、%)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459.22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512.86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资料来源:孝感市财政决算、企业预警通,风控信评部整理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土地市场方面，【待补充:孝感市土地出让与房地产销售数据（土地市场数据库未覆盖该市）】。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孝感市地方政府债务余额分别为672.88亿元、840.58亿元、980.52亿元，2025年末债务限额1,026.11亿元，债务余额控制在限额以内；城投有息债务2025年末估算余额706.79亿元。债务率指标看，2025年末政府债务率468.46%、城投债务率337.68%、宽口径债务率806.14%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孝感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