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绍兴市信用评级报告(区域部分)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绍兴经济总量列浙江省第四位，人均GDP约16.43万元、人均经济实力居全省中游，经济增速由7.80%回落至6.50%、有所放缓；固定资产投资最新增速转负（-3.20%），经济动能仍有待修复。【待补充：绍兴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绍兴市2023、2024、2025年地区生产总值分别为7,791.14亿元、8,369.00亿元、8,932.10亿元，同比增长7.80%、6.50%、6.50%。截至2025年末，全市常住人口544.30万人，人均GDP约16.43万元。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产业结构方面，2025年绍兴市三次产业结构为3:47:50。【待补充：支柱产业、主要龙头企业、对外贸易等定性描述（数据库未覆盖）】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2023、2024、2025年固定资产投资增速分别为10.00%、1.90%、-3.20%，2025年社会消费品零售总额3,255.00亿元，进出口总额540.96亿美元。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绍兴市2025年GDP总量8,932.10亿元、列全省第四位，一般公共预算收入603.45亿元、列全省第五位。整体来看，绍兴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绍兴市财政体量在浙江省处于中游，税收占比76.06%、税收质量较好，但政府性基金收入总体平稳；2025年末宽口径债务率988.62%、处于偏高水平，已显著高于公认的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绍兴市一般公共预算收入分别为578.75亿元、588.88亿元、603.45亿元，其中税收收入449.70亿元、448.28亿元、458.99亿元，税收占比维持在77.70%、76.12%、76.06%；一般公共预算支出778.64亿元、830.04亿元、812.13亿元，财政自给率74.33%、70.95%、74.30%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政府性基金收入方面，2023、2024、2025年分别为445.07亿元、417.37亿元、407.19亿元，政府性基金收入总体平稳，反映地方综合财力对房地产周期的敞口。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图表：2023-2025年绍兴市财政收入情况(单位:亿元、%)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578.75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448.28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458.99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417.37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407.19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资料来源:绍兴市财政决算、企业预警通,风控信评部整理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绍兴市经营性用地成交价分别为771.18亿元、442.93亿元、363.41亿元、277.12亿元、215.08亿元，2025年较2021年下降72.11%；同期平均溢价率为18.69%、1.30%、4.23%、1.87%、1.51%；成交楼面均价由3,107元/㎡降至998元/㎡、累计下降67.88%。2026年1-4月，绍兴市经营性用地累计成交123宗、规划建面680.62万㎡、成交价50.87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图表:2021-2025年绍兴市土地出让情况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2,482.20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771.18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2,380.54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442.93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2,271.79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1,600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363.41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2,089.06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277.12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2,140.31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680.62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50.87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从房地产销售看，2021-2025年绍兴市商品住宅成交面积由204.09万㎡变动至49.34万㎡、累计下降75.8%；新房均价2025年为21,715元/㎡、较2022年高点(26,552元/㎡)累计下跌18.22%；2025年去化周期35.93个月。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绍兴市地方政府债务余额分别为1,883.79亿元、2,216.35亿元、2,592.42亿元，2025年末债务限额2,592.48亿元，债务余额控制在限额以内；城投有息债务2025年末估算余额12,562.08亿元。债务率指标看，2025年末政府债务率169.12%、城投债务率819.50%、宽口径债务率988.62%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绍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