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金华市信用评级报告(区域部分)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金华经济总量列浙江省第六位，人均GDP约10.10万元、人均经济实力在省内相对靠后，经济增速由6.80%回落至6.32%、有所放缓；固定资产投资最新增速1.00%，经济运行总体平稳。【待补充：金华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金华市2023、2024、2025年地区生产总值分别为6,489.63亿元、6,926.00亿元、7,313.47亿元，同比增长6.80%、6.30%、6.32%。截至2025年末，全市常住人口726.90万人，人均GDP约10.10万元。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产业结构方面，2025年金华市三次产业结构为2.3:37.4:60.3。【待补充：支柱产业、主要龙头企业、对外贸易等定性描述（数据库未覆盖）】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2023、2024、2025年固定资产投资增速分别为18.50%、5.30%、1.00%，2025年社会消费品零售总额4,826.50亿元，进出口总额1,471.20亿美元。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金华市2025年GDP总量7,313.47亿元、列全省第六位，一般公共预算收入555.63亿元、列全省第六位。整体来看，金华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金华市财政体量在浙江省处于中游，税收占比81.53%、税收质量较好，但政府性基金收入较2023年累计下降37%、土地财政贡献度弱化；2025年末宽口径债务率492.20%、处于偏高水平，已显著高于公认的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金华市一般公共预算收入分别为525.80亿元、536.80亿元、555.63亿元，其中税收收入452.48亿元、439.88亿元、453.02亿元，税收占比维持在86.06%、81.94%、81.53%；一般公共预算支出848.48亿元、898.47亿元、907.64亿元，财政自给率61.97%、59.75%、61.22%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政府性基金收入方面，2023、2024、2025年分别为859.98亿元、574.87亿元、541.78亿元，政府性基金收入较2023年累计下降37%、土地财政贡献度弱化，反映地方综合财力对房地产周期的敞口。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图表：2023-2025年金华市财政收入情况(单位:亿元、%)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452.48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848.48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907.64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-5.76%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资料来源:金华市财政决算、企业预警通,风控信评部整理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土地市场方面，【待补充:金华市土地出让与房地产销售数据（土地市场数据库未覆盖该市）】。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金华市地方政府债务余额分别为1,690.59亿元、2,168.16亿元、2,678.08亿元，2025年末债务限额2,678.17亿元，债务余额控制在限额以内；城投有息债务2025年末估算余额6,280.16亿元。债务率指标看，2025年末政府债务率147.14%、城投债务率345.05%、宽口径债务率492.20%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金华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