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三沙市信用评级报告(区域部分)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三沙经济总量列海南省第四位，人均GDP约—万元、人均经济实力居省内中游，经济增速数据待补充；固定资产投资数据待补充，经济运行总体平稳。【待补充：三沙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三沙市2023、2024、2025年地区生产总值分别为—亿元、—亿元、—亿元，同比增长—、—、—。截至2025年末，全市常住人口0.27万人，人均GDP约—万元（按当年GDP与常住人口估算）。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产业结构方面，2025年三沙市三次产业结构为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进出口总额0.00亿美元。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图表：2025年海南省各地级市主要经济指标对比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2,562.85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4.3:16.6:79.1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1,033.88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10.8:13.3:75.9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儋州市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16.5:29.9:53.6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102.87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省内对比看，三沙市2025年GDP总量—亿元、列全省第四位。整体来看，三沙市经济基本面在海南省内具有一定代表性，但需关注固定资产投资走势及新旧动能转换的接续性。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三沙市财政体量在海南省处于中游，税收占比—、税收占比处于一般水平；2025年末宽口径债务率—、处于水平待评估水平，。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三沙市一般公共预算收入分别为—亿元、—亿元、—亿元，其中税收收入—亿元、—亿元、—亿元，税收占比维持在—、—、—；一般公共预算支出—亿元、—亿元、—亿元，财政自给率—、—、—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图表：2023-2025年三沙市财政收入情况(单位:亿元、%)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资料来源:三沙市财政决算、企业预警通,风控信评部整理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土地市场方面，【待补充:三沙市土地出让与房地产销售数据（土地市场数据库未覆盖该市）】。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三沙市地方政府债务余额分别为—亿元、—亿元、—亿元，2025年末债务限额—亿元，债务余额控制在限额以内；城投有息债务2025年末估算余额—亿元。债务率指标看，2025年末政府债务率—、城投债务率—、宽口径债务率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三沙市财政基本盘总体稳健，但土地财政收缩与债务规模扩张是当前主要压力线；我们预计宽口径债务率短期内将维持水平待评估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