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宜昌市信用评级报告(区域部分)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宜昌经济总量列湖北省第二位，人均GDP约16.52万元、人均经济实力居全省前列，经济增速由7.10%回落至6.10%、有所放缓；固定资产投资最新增速5.60%，经济运行总体平稳。【待补充：宜昌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宜昌市2023、2024、2025年地区生产总值分别为5,773.68亿元、6,191.12亿元、6,464.42亿元，同比增长7.10%、6.46%、6.10%。截至2025年末，全市常住人口390.06万人，人均GDP约16.52万元。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产业结构方面，2025年宜昌市三次产业结构为10.8:39.5:49.7。【待补充：支柱产业、主要龙头企业、对外贸易等定性描述（数据库未覆盖）】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2023、2024、2025年固定资产投资增速分别为10.00%、9.00%、5.60%，2025年社会消费品零售总额2,376.24亿元，进出口总额76.23亿美元。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宜昌市2025年GDP总量6,464.42亿元、列全省第二位，一般公共预算收入327.05亿元、列全省第二位。整体来看，宜昌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宜昌市财政体量在湖北省位居前列，税收占比72.20%、税收质量较好，但政府性基金收入较2023年累计下降20%、土地财政贡献度弱化；2025年末宽口径债务率1007.05%、处于偏高水平，已显著高于公认的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宜昌市一般公共预算收入分别为268.99亿元、294.07亿元、327.05亿元，其中税收收入203.83亿元、220.88亿元、236.14亿元，税收占比维持在75.78%、75.11%、72.20%；一般公共预算支出680.14亿元、721.24亿元、694.98亿元，财政自给率39.55%、40.77%、47.06%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政府性基金收入方面，2023、2024年分别为242.51亿元、195.20亿元，政府性基金收入较2023年累计下降20%、土地财政贡献度弱化，反映地方综合财力对房地产周期的敞口。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图表：2023-2025年宜昌市财政收入情况(单位:亿元、%)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294.07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242.51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资料来源:宜昌市财政决算、企业预警通,风控信评部整理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宜昌市经营性用地成交价分别为161.35亿元、176.21亿元、188.61亿元、163.33亿元、161.87亿元，2025年较2021年变动0.32%；同期平均溢价率为1.36%、1.02%、0.56%、0.17%、0.38%；成交楼面均价为771元/㎡。2026年1-4月，宜昌市经营性用地累计成交96宗、规划建面423.86万㎡、成交价14.46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图表:2021-2025年宜昌市土地出让情况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2,677.54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161.35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2,667.96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176.21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2,467.52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188.61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163.33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2,099.16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161.87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423.86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从房地产销售看，2021-2025年宜昌市商品住宅成交面积由256.09万㎡变动至117.69万㎡、累计下降54.0%；新房均价2025年为7,722元/㎡、较2021年高点(7,815元/㎡)累计下跌1.19%。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宜昌市地方政府债务余额分别为987.17亿元、1,214.82亿元、1,470.96亿元，2025年末债务限额1,561.93亿元，债务余额控制在限额以内；城投有息债务2025年末估算余额1,822.64亿元。债务率指标看，2025年末政府债务率449.76%、城投债务率557.29%、宽口径债务率1007.05%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宜昌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