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恩施土家族苗族自治州信用评级报告(区域部分)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恩施土家族苗族自治州经济总量列湖北省第11位，人均GDP约5.18万元、人均经济实力在省内相对靠后，经济增速维持在5.70%左右、总体平稳；固定资产投资最新增速3.90%，经济运行总体平稳。【待补充：恩施土家族苗族自治州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恩施土家族苗族自治州2023、2024、2025年地区生产总值分别为1,481.29亿元、1,651.66亿元、1,741.97亿元，同比增长6.00%、5.70%、5.70%。截至2025年末，全市常住人口335.23万人，人均GDP约5.18万元。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产业结构方面，2025年恩施土家族苗族自治州三次产业结构为17.9:22.7:59.4。【待补充：支柱产业、主要龙头企业、对外贸易等定性描述（数据库未覆盖）】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2023、2024、2025年固定资产投资增速分别为7.80%、7.80%、3.90%，2025年社会消费品零售总额1,017.68亿元，进出口总额8.13亿美元。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22,147.35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2.2:29.7:68.1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1,743.06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1386.19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6,464.42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10.8:39.5:49.7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390.06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6,113.85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3,712.34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17.9:35.2:46.9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孝感市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3,398.86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黄冈市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17.5:32.3:50.2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十堰市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2,704.80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9:36.2:54.8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312.45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2,430.28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2,033.31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14.3:32.3:53.4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258.93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恩施土家族苗族自治州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1,741.97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17.9:22.7:59.4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1,502.81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12.8:38.4:48.8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鄂州市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7.9:41.4:50.7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106.88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恩施土家族苗族自治州2025年GDP总量1,741.97亿元、列全省第11位，一般公共预算收入110.71亿元、列全省第11位。整体来看，恩施土家族苗族自治州经济基本面在湖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恩施土家族苗族自治州财政体量在湖北省处于中游，税收占比60.91%、税收质量较好，但政府性基金收入较2023年累计增长11%；2025年末宽口径债务率571.51%、处于偏高水平，已显著高于公认的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恩施土家族苗族自治州一般公共预算收入分别为93.07亿元、102.04亿元、110.71亿元，其中税收收入60.63亿元、63.39亿元、67.44亿元，税收占比维持在65.14%、62.12%、60.91%；一般公共预算支出473.00亿元、501.34亿元、461.15亿元，财政自给率19.68%、20.35%、24.01%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政府性基金收入方面，2023、2024、2025年分别为57.88亿元、59.57亿元、64.07亿元，政府性基金收入较2023年累计增长11%，反映地方综合财力对房地产周期的敞口。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图表：2023-2025年恩施土家族苗族自治州财政收入情况(单位:亿元、%)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102.04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501.34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461.15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-8.02%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资料来源:恩施土家族苗族自治州财政决算、企业预警通,风控信评部整理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土地市场方面，【待补充:恩施土家族苗族自治州土地出让与房地产销售数据（土地市场数据库未覆盖该市）】。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恩施土家族苗族自治州地方政府债务余额分别为627.21亿元、830.78亿元、985.32亿元，2025年末债务限额1,024.82亿元，债务余额控制在限额以内；城投有息债务2025年末估算余额61.22亿元。债务率指标看，2025年末政府债务率538.08%、城投债务率33.43%、宽口径债务率571.51%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恩施土家族苗族自治州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