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荆州市信用评级报告(区域部分)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荆州经济总量列湖北省第四位，人均GDP约7.27万元、人均经济实力在省内相对靠后，经济增速维持在6.30%左右、总体平稳；固定资产投资最新增速5.80%，经济运行总体平稳。【待补充：荆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荆州市2023、2024、2025年地区生产总值分别为3,305.70亿元、3,505.99亿元、3,712.34亿元，同比增长6.40%、6.25%、6.30%。截至2025年末，全市常住人口508.29万人，人均GDP约7.27万元。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产业结构方面，2025年荆州市三次产业结构为17.9:35.2:46.9。【待补充：支柱产业、主要龙头企业、对外贸易等定性描述（数据库未覆盖）】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2023、2024、2025年固定资产投资增速分别为10.10%、8.50%、5.80%，2025年社会消费品零售总额2,022.57亿元，进出口总额47.83亿美元。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荆州市2025年GDP总量3,712.34亿元、列全省第四位，一般公共预算收入190.99亿元、列全省第七位。整体来看，荆州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荆州市财政体量在湖北省处于中游，税收占比62.66%、税收质量较好，但政府性基金收入较2023年累计下降44%、土地财政贡献度弱化；2025年末宽口径债务率833.65%、处于偏高水平，已显著高于公认的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荆州市一般公共预算收入分别为168.75亿元、175.02亿元、190.99亿元，其中税收收入114.71亿元、115.36亿元、119.67亿元，税收占比维持在67.98%、65.91%、62.66%；一般公共预算支出562.13亿元、615.46亿元、582.99亿元，财政自给率30.02%、28.44%、32.76%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政府性基金收入方面，2023、2024、2025年分别为156.14亿元、101.48亿元、87.50亿元，政府性基金收入较2023年累计下降44%、土地财政贡献度弱化，反映地方综合财力对房地产周期的敞口。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图表：2023-2025年荆州市财政收入情况(单位:亿元、%)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-35.01%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-13.78%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资料来源:荆州市财政决算、企业预警通,风控信评部整理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土地市场方面，【待补充:荆州市土地出让与房地产销售数据（土地市场数据库未覆盖该市）】。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荆州市地方政府债务余额分别为779.14亿元、968.50亿元、1,102.46亿元，2025年末债务限额1,207.38亿元，债务余额控制在限额以内；城投有息债务2025年末估算余额1,263.55亿元。债务率指标看，2025年末政府债务率388.44%、城投债务率445.20%、宽口径债务率833.65%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荆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