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荆门市信用评级报告(区域部分)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荆门经济总量列湖北省第八位，人均GDP约10.23万元、人均经济实力居全省中游，经济增速由6.70%回落至6.20%、有所放缓；固定资产投资最新增速转负（-0.60%），经济动能仍有待修复。【待补充：荆门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荆门市2023、2024、2025年地区生产总值分别为2,272.30亿元、2,459.68亿元、2,602.26亿元，同比增长6.70%、6.67%、6.20%。截至2025年末，全市常住人口253.43万人，人均GDP约10.23万元。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产业结构方面，2025年荆门市三次产业结构为 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2023、2024、2025年固定资产投资增速分别为6.80%、7.60%、-0.60%，2025年社会消费品零售总额1,139.19亿元，进出口总额34.76亿美元。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图表：2025年湖北省各地级市主要经济指标对比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武汉市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22,147.35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2.2:29.7:68.1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1,743.06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1386.19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宜昌市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6,464.42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10.8:39.5:49.7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327.05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390.06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襄阳市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6,113.85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303.72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荆州市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3,712.34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17.9:35.2:46.9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190.99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508.29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孝感市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3,398.86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209.31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黄冈市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3,303.59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17.5:32.3:50.2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205.60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十堰市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2,704.80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9:36.2:54.8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168.18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312.45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荆门市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2,602.26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145.31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253.43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黄石市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2,430.28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咸宁市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2,033.31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14.3:32.3:53.4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126.05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258.93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恩施土家族苗族自治州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1,741.97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17.9:22.7:59.4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110.71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335.23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随州市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1,502.81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12.8:38.4:48.8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198.83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鄂州市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1,416.02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7.9:41.4:50.7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106.88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荆门市2025年GDP总量2,602.26亿元、列全省第八位，一般公共预算收入145.31亿元、列全省第九位。整体来看，荆门市经济基本面在湖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荆门市财政体量在湖北省处于中游，税收占比63.59%、税收质量较好，但政府性基金收入较2023年累计下降53%、土地财政贡献度弱化；2025年末宽口径债务率930.29%、处于偏高水平，已显著高于公认的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荆门市一般公共预算收入分别为122.79亿元、132.60亿元、145.31亿元，其中税收收入84.07亿元、84.70亿元、92.40亿元，税收占比维持在68.47%、63.88%、63.59%；一般公共预算支出310.04亿元、362.90亿元、326.65亿元，财政自给率39.60%、36.54%、44.48%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政府性基金收入方面，2023、2024、2025年分别为71.65亿元、64.00亿元、33.70亿元，政府性基金收入较2023年累计下降53%、土地财政贡献度弱化，反映地方综合财力对房地产周期的敞口。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图表：2023-2025年荆门市财政收入情况(单位:亿元、%)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122.79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132.60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7.99%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145.31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9.59%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84.07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84.70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0.75%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9.09%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68.47%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63.88%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63.59%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310.04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362.90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17.05%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326.65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-9.99%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36.54%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44.48%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-10.68%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-47.34%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资料来源:荆门市财政决算、企业预警通,风控信评部整理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土地市场方面，【待补充:荆门市土地出让与房地产销售数据（土地市场数据库未覆盖该市）】。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荆门市地方政府债务余额分别为448.78亿元、540.56亿元、600.73亿元，2025年末债务限额663.30亿元，债务余额控制在限额以内；城投有息债务2025年末估算余额1,133.77亿元。债务率指标看，2025年末政府债务率322.20%、城投债务率608.09%、宽口径债务率930.29%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荆门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