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襄阳市信用评级报告(区域部分)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襄阳经济总量列湖北省第三位，人均GDP约—万元、人均经济实力居省内中游，经济增速由4.80%回落至2.10%、有所放缓；固定资产投资最新增速8.40%，经济运行总体平稳。【待补充：襄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襄阳市2023、2024、2025年地区生产总值分别为5,844.76亿元、6,102.41亿元、6,113.85亿元，同比增长4.80%、5.86%、2.10%。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产业结构方面，2025年襄阳市三次产业结构为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2023、2024年固定资产投资增速分别为5.80%、8.40%，进出口总额45.93亿美元。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襄阳市2025年GDP总量6,113.85亿元、列全省第三位，一般公共预算收入303.72亿元、列全省第三位。整体来看，襄阳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襄阳市财政体量在湖北省位居前列，税收占比63.70%、税收质量较好，但政府性基金收入总体平稳；2025年末宽口径债务率746.26%、处于偏高水平，已显著高于公认的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襄阳市一般公共预算收入分别为265.56亿元、285.47亿元、303.72亿元，其中税收收入191.47亿元、192.55亿元、193.46亿元，税收占比维持在72.10%、67.45%、63.70%；一般公共预算支出704.98亿元、802.67亿元、758.31亿元，财政自给率37.67%、35.56%、40.05%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政府性基金收入方面，2023、2024、2025年分别为211.00亿元、232.11亿元、221.66亿元，政府性基金收入总体平稳，反映地方综合财力对房地产周期的敞口。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图表：2023-2025年襄阳市财政收入情况(单位:亿元、%)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-4.50%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资料来源:襄阳市财政决算、企业预警通,风控信评部整理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襄阳市经营性用地成交价分别为156.37亿元、95.63亿元、171.37亿元、70.91亿元、41.63亿元，2025年较2021年下降73.38%；同期平均溢价率为3.69%、1.02%、0.12%、2.86%、1.56%；成交楼面均价由1,046元/㎡降至576元/㎡、累计下降44.93%。2026年1-4月，襄阳市经营性用地累计成交41宗、规划建面209.20万㎡、成交价8.05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图表:2021-2025年襄阳市土地出让情况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1,493.54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1,037.48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95.63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1,609.23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171.37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814.68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70.91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722.50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209.20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8.05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从房地产销售看，2021-2025年襄阳市商品住宅成交面积由306.60万㎡变动至213.53万㎡、累计下降30.4%；新房均价2025年为8,198元/㎡、较2023年高点(10,145元/㎡)累计下跌19.19%；2025年去化周期69.12个月。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襄阳市地方政府债务余额分别为1,198.96亿元、1,421.48亿元、1,742.15亿元，2025年末债务限额1,816.93亿元，债务余额控制在限额以内；城投有息债务2025年末估算余额2,202.48亿元。债务率指标看，2025年末政府债务率329.59%、城投债务率416.68%、宽口径债务率746.26%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襄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