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黄冈市信用评级报告(区域部分)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冈经济总量列湖北省第六位，人均GDP约5.75万元、人均经济实力在省内相对靠后，经济增速由6.40%回落至5.10%、有所放缓；固定资产投资最新增速转负（-1.80%），经济动能仍有待修复。【待补充：黄冈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黄冈市2023、2024、2025年地区生产总值分别为3,017.44亿元、3,200.08亿元、3,303.59亿元，同比增长6.40%、6.00%、5.10%。截至2025年末，全市常住人口575.00万人，人均GDP约5.75万元（按当年GDP与常住人口估算）。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产业结构方面，2025年黄冈市三次产业结构为17.5:32.3:50.2。【待补充：支柱产业、主要龙头企业、对外贸易等定性描述（数据库未覆盖）】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2023、2024、2025年固定资产投资增速分别为6.90%、3.30%、-1.80%，2025年社会消费品零售总额1,727.12亿元，进出口总额21.99亿美元。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图表：2025年湖北省各地级市主要经济指标对比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22,147.35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2.2:29.7:68.1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1386.19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6,464.42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10.8:39.5:49.7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327.05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390.06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6,113.85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3,712.34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17.9:35.2:46.9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508.29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孝感市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3,398.86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209.31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黄冈市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3,303.59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17.5:32.3:50.2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十堰市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2,704.80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9:36.2:54.8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312.45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荆门市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2,430.28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咸宁市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2,033.31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14.3:32.3:53.4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258.93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恩施土家族苗族自治州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1,741.97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17.9:22.7:59.4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12.8:38.4:48.8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198.83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鄂州市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7.9:41.4:50.7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107.14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106.88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黄冈市2025年GDP总量3,303.59亿元、列全省第六位，一般公共预算收入205.60亿元、列全省第六位。整体来看，黄冈市经济基本面在湖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黄冈市财政体量在湖北省处于中游，税收占比59.09%、税收占比处于一般水平，但政府性基金收入较2023年累计增长54%；2025年末宽口径债务率488.24%、处于偏高水平，已显著高于公认的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黄冈市一般公共预算收入分别为177.76亿元、188.03亿元、205.60亿元，其中税收收入119.11亿元、120.09亿元、121.49亿元，税收占比维持在67.01%、63.86%、59.09%；一般公共预算支出646.14亿元、716.21亿元、694.36亿元，财政自给率27.51%、26.25%、29.61%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政府性基金收入方面，2023、2024、2025年分别为79.04亿元、76.41亿元、121.74亿元，政府性基金收入较2023年累计增长54%，反映地方综合财力对房地产周期的敞口。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图表：2023-2025年黄冈市财政收入情况(单位:亿元、%)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1.17%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63.86%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59.32%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资料来源:黄冈市财政决算、企业预警通,风控信评部整理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土地市场方面，【待补充:黄冈市土地出让与房地产销售数据（土地市场数据库未覆盖该市）】。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黄冈市地方政府债务余额分别为700.59亿元、890.39亿元、1,084.62亿元，2025年末债务限额1,158.16亿元，债务余额控制在限额以内；城投有息债务2025年末估算余额719.58亿元。债务率指标看，2025年末政府债务率293.51%、城投债务率194.73%、宽口径债务率488.24%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黄冈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