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阳江市信用评级报告(区域部分)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阳江作为广东省下辖地级市，经济总量列广东省第16位，人均GDP约6.36万元、人均经济实力居全省中游，经济增速由3.95%回落至3.30%、有所放缓；固定资产投资最新增速2.80%，经济运行总体平稳。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阳江市2023、2024、2025年地区生产总值分别为1,590.07亿元、1,629.58亿元、1,671.22亿元，同比增长3.95%、3.48%、3.30%。截至2025年末，全市常住人口262.86万人，人均GDP约6.36万元。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产业结构方面，阳江作为广东省下辖地级市，区域产业结构以本地优势产业为主。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2023、2024、2025年固定资产投资增速分别为29.50%、10.72%、2.80%，2025年社会消费品零售总额475.82亿元，进出口总额33.35亿美元。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图表：2025年广东省各地级市主要经济指标对比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深圳市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38,731.80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0.1:37.4:62.5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4,163.77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1824.85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广州市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32,039.46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0.99:24.06:74.95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2,184.82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1910.10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佛山市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13,157.35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1.9:49.6:48.5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800.27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东莞市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12,760.20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11.94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0.3:56.1:43.6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891.73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1080.04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惠州市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6,363.66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5.24:53.18:41.58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538.68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619.30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珠海市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4,573.10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494.10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江门市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4,293.91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8.7:43.1:48.2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324.85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482.85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中山市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4,260.56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380.01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茂名市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4,106.40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18.1:27.3:54.5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186.64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626.46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湛江市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3,952.94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18.6:32.6:48.8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215.10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712.29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汕头市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3,023.83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4.7:37.6:57.7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170.33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557.69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肇庆市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2,974.84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240.19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揭阳市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2,553.75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4.49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9.7:35:55.3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130.12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568.72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清远市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2,317.47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208.12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韶关市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1,705.10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5.99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15.2:31.1:53.7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120.14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283.39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阳江市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1,671.22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115.37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262.86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梅州市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1,583.23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17.9:29.7:52.4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121.35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381.56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汕尾市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1,546.30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90.38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潮州市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1,452.17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9.8:44.5:45.7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81.93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257.88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河源市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1,434.57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13.3:33.7:53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95.34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281.42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云浮市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1,344.87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18.1:26.3:55.6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81.10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238.96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阳江市2025年GDP总量1,671.22亿元、列全省第16位，一般公共预算收入115.37亿元、列全省第17位。整体来看，阳江市经济基本面在广东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阳江市财政体量在广东省处于中游，税收占比61.97%、税收质量较好，但政府性基金收入较2023年累计下降29%、土地财政贡献度弱化；2025年末宽口径债务率181.91%、处于可控水平，整体处于可控水平。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阳江市一般公共预算收入分别为81.25亿元、83.62亿元、115.37亿元，其中税收收入51.84亿元、50.47亿元、71.49亿元，税收占比维持在63.80%、60.36%、61.97%；一般公共预算支出261.34亿元、254.96亿元、268.73亿元，财政自给率31.09%、32.80%、42.93%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政府性基金收入方面，2023、2024、2025年分别为28.99亿元、27.02亿元、20.56亿元，政府性基金收入较2023年累计下降29%、土地财政贡献度弱化，反映地方综合财力对房地产周期的敞口。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图表：2023-2025年阳江市财政收入情况(单位:亿元、%)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81.25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83.62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2.92%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115.37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37.97%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51.84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50.47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-2.64%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71.49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41.65%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63.80%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60.36%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61.97%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261.34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254.96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-2.44%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268.73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31.09%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42.93%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28.99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27.02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-6.80%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20.56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-23.91%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资料来源:阳江市财政决算、企业预警通,风控信评部整理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土地市场方面，【待补充:阳江市土地出让与房地产销售数据（土地市场数据库未覆盖该市）】。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阳江市地方政府债务余额分别为443.43亿元、572.58亿元、679.70亿元，2025年末债务限额683.97亿元，债务余额控制在限额以内；城投有息债务2025年末估算余额75.41亿元。债务率指标看，2025年末政府债务率163.74%、城投债务率18.17%、宽口径债务率181.91%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阳江市财政基本盘总体稳健，但土地财政收缩与债务规模扩张是当前主要压力线；我们预计宽口径债务率短期内将维持可控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