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韶关市信用评级报告(区域部分)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韶关作为广东省下辖地级市，经济总量列广东省第15位，人均GDP约5.99万元、人均经济实力居全省中游，经济增速由4.50%回落至3.60%、有所放缓；固定资产投资连续负增长（最新-14.50%），经济动能仍有待修复。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韶关市2023、2024、2025年地区生产总值分别为1,623.60亿元、1,647.56亿元、1,705.10亿元，同比增长4.50%、2.15%、3.60%。截至2025年末，全市常住人口283.39万人，人均GDP约5.99万元。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产业结构方面，2025年韶关市三次产业结构为15.2:31.1:53.7，第三产业占主导、服务业是经济主体，农业基础较好。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2023、2024、2025年固定资产投资增速分别为2.90%、-5.63%、-14.50%，2025年社会消费品零售总额453.11亿元，进出口总额26.64亿美元。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韶关市2025年GDP总量1,705.10亿元、列全省第15位，一般公共预算收入120.14亿元、列全省第16位。整体来看，韶关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韶关市财政体量在广东省处于中游，税收占比62.55%、税收质量较好，但政府性基金收入总体平稳；2025年末宽口径债务率661.77%、处于偏高水平，已显著高于公认的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韶关市一般公共预算收入分别为101.15亿元、104.90亿元、120.14亿元，其中税收收入52.01亿元、52.09亿元、75.15亿元，税收占比维持在51.42%、49.66%、62.55%；一般公共预算支出368.43亿元、381.12亿元、377.52亿元，财政自给率27.45%、27.52%、31.82%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政府性基金收入方面，2023、2024、2025年分别为31.40亿元、35.23亿元、32.99亿元，政府性基金收入总体平稳，反映地方综合财力对房地产周期的敞口。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图表：2023-2025年韶关市财政收入情况(单位:亿元、%)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-6.36%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资料来源:韶关市财政决算、企业预警通,风控信评部整理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土地市场方面，【待补充:韶关市土地出让与房地产销售数据（土地市场数据库未覆盖该市）】。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韶关市地方政府债务余额分别为726.22亿元、825.57亿元、937.62亿元，2025年末债务限额943.99亿元，债务余额控制在限额以内；城投有息债务2025年末估算余额88.45亿元。债务率指标看，2025年末政府债务率604.73%、城投债务率57.05%、宽口径债务率661.77%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韶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