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来宾市信用评级报告(区域部分)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来宾作为广西壮族自治区下辖地级市，经济总量列广西壮族自治区第13位，人均GDP约5.22万元、人均经济实力在省内相对靠后，经济增速维持在4.80%左右、总体平稳；固定资产投资连续负增长（最新-11.00%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来宾市2023、2024、2025年地区生产总值分别为983.31亿元、1,019.26亿元、1,049.66亿元，同比增长5.10%、5.00%、4.80%。截至2025年末，全市常住人口199.89万人，人均GDP约5.22万元。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产业结构方面，2025年来宾市三次产业结构为21.2:38:40.8，第三产业占主导、服务业是经济主体，农业基础较好。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2023、2024、2025年固定资产投资增速分别为-6.80%、-4.94%、-11.00%，进出口总额3.64亿美元。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来宾市2025年GDP总量1,049.66亿元、列全省第13位，一般公共预算收入64.38亿元、列全省第九位。整体来看，来宾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来宾市财政体量在广西壮族自治区处于中游，税收占比45.69%、税收占比处于一般水平，但政府性基金收入较2023年累计增长15%；2025年末宽口径债务率247.36%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来宾市一般公共预算收入分别为55.82亿元、68.84亿元、64.38亿元，其中税收收入24.19亿元、25.98亿元、29.42亿元，税收占比维持在43.34%、37.74%、45.69%；一般公共预算支出233.45亿元、243.97亿元、245.29亿元，财政自给率23.91%、28.22%、26.25%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政府性基金收入方面，2023、2024、2025年分别为20.53亿元、16.87亿元、23.62亿元，政府性基金收入较2023年累计增长15%，反映地方综合财力对房地产周期的敞口。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图表：2023-2025年来宾市财政收入情况(单位:亿元、%)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245.29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23.91%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40.01%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资料来源:来宾市财政决算、企业预警通,风控信评部整理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土地市场方面，【待补充:来宾市土地出让与房地产销售数据（土地市场数据库未覆盖该市）】。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来宾市地方政府债务余额分别为473.00亿元、544.46亿元、642.54亿元，2025年末债务限额642.99亿元，债务余额控制在限额以内；城投有息债务2025年末估算余额187.93亿元。债务率指标看，2025年末政府债务率191.39%、城投债务率55.98%、宽口径债务率247.36%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来宾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