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柳州市信用评级报告(区域部分)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柳州作为广西壮族自治区下辖地级市，经济总量列广西壮族自治区第二位，人均GDP约7.49万元、人均经济实力居全省中游，经济增速由2.80%回升至6.20%、动能边际改善；固定资产投资连续负增长（最新4.60%）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柳州市2023、2024、2025年地区生产总值分别为3,115.86亿元、2,955.08亿元、3,096.91亿元，同比增长2.80%、1.50%、6.20%。截至2025年末，全市常住人口412.58万人，人均GDP约7.49万元。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产业结构方面，2025年柳州市三次产业结构为9.9:40.4:49.7，第三产业占主导、服务业是经济主体。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2023、2024、2025年固定资产投资增速分别为-5.60%、-20.03%、4.60%，进出口总额61.84亿美元。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柳州市2025年GDP总量3,096.91亿元、列全省第二位，一般公共预算收入167.00亿元、列全省第二位。整体来看，柳州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柳州市财政体量在广西壮族自治区位居前列，税收占比62.22%、税收质量较好，但政府性基金收入较2023年累计下降73%、土地财政贡献度弱化；2025年末宽口径债务率499.04%、处于偏高水平，已显著高于公认的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柳州市一般公共预算收入分别为156.57亿元、149.09亿元、167.00亿元，其中税收收入99.36亿元、98.91亿元、103.91亿元，税收占比维持在63.46%、66.34%、62.22%；一般公共预算支出379.71亿元、462.05亿元、479.42亿元，财政自给率41.23%、32.27%、34.83%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政府性基金收入方面，2023、2024、2025年分别为130.64亿元、60.66亿元、34.67亿元，政府性基金收入较2023年累计下降73%、土地财政贡献度弱化，反映地方综合财力对房地产周期的敞口。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图表：2023-2025年柳州市财政收入情况(单位:亿元、%)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379.71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462.05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-53.57%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-42.85%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资料来源:柳州市财政决算、企业预警通,风控信评部整理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土地市场方面，【待补充:柳州市土地出让与房地产销售数据（土地市场数据库未覆盖该市）】。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柳州市地方政府债务余额分别为897.70亿元、1,051.91亿元、1,157.33亿元，2025年末债务限额1,159.28亿元，债务余额控制在限额以内；城投有息债务2025年末估算余额2,476.51亿元。债务率指标看，2025年末政府债务率158.94%、城投债务率340.10%、宽口径债务率499.04%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柳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