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桂林市信用评级报告(区域部分)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桂林作为广西壮族自治区下辖地级市，经济总量列广西壮族自治区第三位，人均经济实力居省内中游，经济增速维持在3.50%左右、总体平稳；固定资产投资连续负增长（最新-11.20%），经济动能仍有待修复。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桂林市2023、2024、2025年地区生产总值分别为2,448.34亿元、2,566.39亿元、2,579.53亿元，同比增长3.40%、3.30%、3.50%。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产业结构方面，桂林作为广西壮族自治区下辖地级市，区域产业结构以本地优势产业为主。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2023、2024、2025年固定资产投资增速分别为-17.70%、0.03%、-11.20%，进出口总额17.49亿美元。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图表：2025年广西壮族自治区各地级市主要经济指标对比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6,212.46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10.6:19.3:70.1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901.66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9.9:40.4:49.7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412.58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桂林市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2,579.53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2,437.44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百色市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北海市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1,907.61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1,719.79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15.7:39.3:45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282.27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1,628.44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1,453.62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崇左市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1,358.64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防城港市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来宾市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1,049.66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21.2:38:40.8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贺州市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桂林市2025年GDP总量2,579.53亿元、列全省第三位，一般公共预算收入150.65亿元、列全省第四位。整体来看，桂林市经济基本面在广西壮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桂林市财政体量在广西壮族自治区处于中游，税收占比44.78%、税收占比处于一般水平，但政府性基金收入较2023年累计下降45%、土地财政贡献度弱化；2025年末宽口径债务率1052.30%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桂林市一般公共预算收入分别为115.67亿元、127.06亿元、150.65亿元，其中税收收入64.88亿元、65.11亿元、67.46亿元，税收占比维持在56.09%、51.25%、44.78%；一般公共预算支出489.19亿元、519.64亿元、537.59亿元，财政自给率23.65%、24.45%、28.02%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政府性基金收入方面，2023、2024、2025年分别为60.42亿元、49.43亿元、33.27亿元，政府性基金收入较2023年累计下降45%、土地财政贡献度弱化，反映地方综合财力对房地产周期的敞口。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图表：2023-2025年桂林市财政收入情况(单位:亿元、%)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18.57%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489.19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519.64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537.59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-18.19%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-32.69%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资料来源:桂林市财政决算、企业预警通,风控信评部整理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土地市场方面，【待补充:桂林市土地出让与房地产销售数据（土地市场数据库未覆盖该市）】。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桂林市地方政府债务余额分别为846.00亿元、925.43亿元、1,075.41亿元，2025年末债务限额1,075.87亿元，债务余额控制在限额以内；城投有息债务2025年末估算余额5,981.29亿元。债务率指标看，2025年末政府债务率160.37%、城投债务率891.93%、宽口径债务率1052.30%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桂林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