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梧州市信用评级报告(区域部分)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梧州作为广西壮族自治区下辖地级市，经济总量列广西壮族自治区第八位，人均GDP约6.08万元、人均经济实力在省内相对靠后，经济增速由4.80%回升至5.70%、动能边际改善；固定资产投资连续负增长（最新-8.40%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梧州市2023、2024、2025年地区生产总值分别为1,490.97亿元、1,634.06亿元、1,719.79亿元，同比增长4.80%、7.20%、5.70%。截至2025年末，全市常住人口282.27万人，人均GDP约6.08万元。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产业结构方面，2025年梧州市三次产业结构为15.7:39.3:45，第三产业占主导、服务业是经济主体，农业基础较好。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2023、2024、2025年固定资产投资增速分别为-3.20%、-8.54%、-8.40%，进出口总额22.79亿美元。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梧州市2025年GDP总量1,719.79亿元、列全省第八位，一般公共预算收入85.93亿元、列全省第七位。整体来看，梧州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梧州市财政体量在广西壮族自治区处于中游，税收占比59.65%、税收占比处于一般水平，但政府性基金收入较2023年累计下降53%、土地财政贡献度弱化；2025年末宽口径债务率231.89%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梧州市一般公共预算收入分别为73.18亿元、77.16亿元、85.93亿元，其中税收收入41.94亿元、47.91亿元、51.26亿元，税收占比维持在57.31%、62.09%、59.65%；一般公共预算支出267.14亿元、269.24亿元、289.72亿元，财政自给率27.39%、28.66%、29.66%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政府性基金收入方面，2023、2024、2025年分别为82.28亿元、69.73亿元、38.90亿元，政府性基金收入较2023年累计下降53%、土地财政贡献度弱化，反映地方综合财力对房地产周期的敞口。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图表：2023-2025年梧州市财政收入情况(单位:亿元、%)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-44.21%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资料来源:梧州市财政决算、企业预警通,风控信评部整理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土地市场方面，【待补充:梧州市土地出让与房地产销售数据（土地市场数据库未覆盖该市）】。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梧州市地方政府债务余额分别为545.92亿元、606.26亿元、667.54亿元，2025年末债务限额670.16亿元，债务余额控制在限额以内；城投有息债务2025年末估算余额232.69亿元。债务率指标看，2025年末政府债务率171.95%、城投债务率59.94%、宽口径债务率231.89%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梧州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