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玉林市信用评级报告(区域部分)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玉林作为广西壮族自治区下辖地级市，经济总量列广西壮族自治区第四位，人均经济实力居省内中游，经济增速由3.40%回升至5.70%、动能边际改善；固定资产投资连续负增长（最新-1.30%），经济动能仍有待修复。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玉林市2023、2024、2025年地区生产总值分别为2,251.80亿元、2,346.78亿元、2,437.44亿元，同比增长3.40%、4.30%、5.70%。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产业结构方面，玉林作为广西壮族自治区下辖地级市，区域产业结构以本地优势产业为主。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2023、2024、2025年固定资产投资增速分别为-23.90%、-2.09%、-1.30%，进出口总额39.99亿美元。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玉林市2025年GDP总量2,437.44亿元、列全省第四位，一般公共预算收入96.91亿元、列全省第六位。整体来看，玉林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林市财政体量在广西壮族自治区处于中游，税收占比44.30%、税收占比处于一般水平，但政府性基金收入较2023年累计下降13%、土地财政贡献度弱化；2025年末宽口径债务率196.34%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玉林市一般公共预算收入分别为89.89亿元、94.04亿元、96.91亿元，其中税收收入39.60亿元、40.83亿元、42.93亿元，税收占比维持在44.05%、43.42%、44.30%；一般公共预算支出411.33亿元、442.54亿元、454.44亿元，财政自给率21.85%、21.25%、21.33%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政府性基金收入方面，2023、2024、2025年分别为49.11亿元、48.09亿元、42.80亿元，政府性基金收入较2023年累计下降13%、土地财政贡献度弱化，反映地方综合财力对房地产周期的敞口。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图表：2023-2025年玉林市财政收入情况(单位:亿元、%)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411.33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454.44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资料来源:玉林市财政决算、企业预警通,风控信评部整理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土地市场方面，【待补充:玉林市土地出让与房地产销售数据（土地市场数据库未覆盖该市）】。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玉林市地方政府债务余额分别为602.68亿元、732.82亿元、871.28亿元，2025年末债务限额871.94亿元，债务余额控制在限额以内；城投有息债务2025年末估算余额230.70亿元。债务率指标看，2025年末政府债务率155.23%、城投债务率41.10%、宽口径债务率196.34%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玉林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