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百色市信用评级报告(区域部分)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百色作为广西壮族自治区下辖地级市，经济总量列广西壮族自治区第五位，人均经济实力居省内中游，经济增速由6.20%回落至4.80%、有所放缓；固定资产投资连续负增长（最新-5.60%），经济动能仍有待修复。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百色市2023、2024、2025年地区生产总值分别为1,894.47亿元、2,030.22亿元、2,101.34亿元，同比增长6.20%、4.80%、4.80%。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产业结构方面，百色作为广西壮族自治区下辖地级市，区域产业结构以本地优势产业为主。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2023、2024、2025年固定资产投资增速分别为-25.80%、-2.67%、-5.60%，进出口总额67.55亿美元。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百色市2025年GDP总量2,101.34亿元、列全省第五位，一般公共预算收入165.18亿元、列全省第三位。整体来看，百色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百色市财政体量在广西壮族自治区位居前列，税收占比41.46%、税收占比处于一般水平，但政府性基金收入较2023年累计下降52%、土地财政贡献度弱化；2025年末宽口径债务率188.60%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百色市一般公共预算收入分别为113.24亿元、155.63亿元、165.18亿元，其中税收收入51.59亿元、60.00亿元、68.47亿元，税收占比维持在45.56%、38.55%、41.46%；一般公共预算支出494.62亿元、484.73亿元、495.41亿元，财政自给率22.90%、32.11%、33.34%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政府性基金收入方面，2023、2024、2025年分别为54.96亿元、41.77亿元、26.39亿元，政府性基金收入较2023年累计下降52%、土地财政贡献度弱化，反映地方综合财力对房地产周期的敞口。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图表：2023-2025年百色市财政收入情况(单位:亿元、%)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-36.82%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资料来源:百色市财政决算、企业预警通,风控信评部整理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土地市场方面，【待补充:百色市土地出让与房地产销售数据（土地市场数据库未覆盖该市）】。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百色市地方政府债务余额分别为681.17亿元、782.48亿元、926.68亿元，2025年末债务限额930.13亿元，债务余额控制在限额以内；城投有息债务2025年末估算余额254.70亿元。债务率指标看，2025年末政府债务率147.94%、城投债务率40.66%、宽口径债务率188.60%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百色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