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贵港市信用评级报告(区域部分)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贵港作为广西壮族自治区下辖地级市，经济总量列广西壮族自治区第九位，人均GDP约3.80万元、人均经济实力在省内相对靠后，经济增速由0.10%回升至5.70%、动能边际改善；固定资产投资最新增速1.80%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贵港市2023、2024、2025年地区生产总值分别为1,505.84亿元、1,556.30亿元、1,628.44亿元，同比增长0.10%、4.30%、5.70%。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产业结构方面，贵港作为广西壮族自治区下辖地级市，区域产业结构以本地优势产业为主。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2023、2024、2025年固定资产投资增速分别为-35.20%、5.79%、1.80%，2025年社会消费品零售总额492.70亿元，进出口总额7.57亿美元。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图表：2025年广西壮族自治区各地级市主要经济指标对比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6,212.46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10.6:19.3:70.1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381.70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901.66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柳州市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3,096.91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9.9:40.4:49.7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167.00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412.58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桂林市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2,579.53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150.65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玉林市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2,437.44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百色市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2,101.34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165.18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北海市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1,974.04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钦州市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1,907.61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101.64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梧州市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1,719.79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15.7:39.3:45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282.27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贵港市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1,628.44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河池市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1,453.62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崇左市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1,358.64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防城港市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1,201.26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来宾市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1,049.66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21.2:38:40.8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199.89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贺州市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1,006.74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贵港市2025年GDP总量1,628.44亿元、列全省第九位，一般公共预算收入60.78亿元、列全省第11位。整体来看，贵港市经济基本面在广西壮族自治区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贵港市财政体量在广西壮族自治区处于中游，税收占比59.51%、税收占比处于一般水平，但政府性基金收入较2023年累计下降55%、土地财政贡献度弱化；2025年末宽口径债务率189.58%、处于可控水平，整体处于可控水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贵港市一般公共预算收入分别为72.59亿元、60.71亿元、60.78亿元，其中税收收入38.03亿元、35.09亿元、36.17亿元，税收占比维持在52.39%、57.80%、59.51%；一般公共预算支出327.18亿元、323.75亿元、346.33亿元，财政自给率22.19%、18.75%、17.55%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政府性基金收入方面，2023、2024、2025年分别为40.54亿元、29.52亿元、18.22亿元，政府性基金收入较2023年累计下降55%、土地财政贡献度弱化，反映地方综合财力对房地产周期的敞口。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图表：2023-2025年贵港市财政收入情况(单位:亿元、%)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-16.37%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-7.73%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52.39%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59.51%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327.18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323.75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-1.05%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346.33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22.19%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18.75%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17.55%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-27.18%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-38.28%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资料来源:贵港市财政决算、企业预警通,风控信评部整理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土地市场方面，【待补充:贵港市土地出让与房地产销售数据（土地市场数据库未覆盖该市）】。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贵港市地方政府债务余额分别为480.68亿元、535.18亿元、608.25亿元，2025年末债务限额608.51亿元，债务余额控制在限额以内；城投有息债务2025年末估算余额200.91亿元。债务率指标看，2025年末政府债务率142.51%、城投债务率47.07%、宽口径债务率189.58%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贵港市财政基本盘总体稳健，但土地财政收缩与债务规模扩张是当前主要压力线；我们预计宽口径债务率短期内将维持可控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