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乌鲁木齐市信用评级报告(区域部分)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乌鲁木齐作为新疆维吾尔自治区首府，经济总量在新疆维吾尔自治区稳居第一，人均GDP约11.25万元、人均经济实力居全省中游，经济增速由6.00%回落至4.50%、有所放缓；固定资产投资最新增速转负（-4.20%），经济动能仍有待修复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乌鲁木齐市2023、2024、2025年地区生产总值分别为4,168.46亿元、4,502.16亿元、4,658.19亿元，同比增长6.00%、5.30%、4.50%。截至2025年末，全市常住人口415.39万人，人均GDP约11.25万元。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产业结构方面，2025年乌鲁木齐市三次产业结构为0.8:27.9:71.3，以石油石化、装备制造、新材料、商贸物流为支柱，是面向中亚的区域中心城市。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2023、2024、2025年固定资产投资增速分别为12.60%、0.10%、-4.20%，2025年社会消费品零售总额1,283.29亿元，进出口总额137.18亿美元。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图表：2025年新疆维吾尔自治区各地级市主要经济指标对比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乌鲁木齐市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4,658.19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11.25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0.8:27.9:71.3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314.39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415.39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伊犁哈萨克自治州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3,470.95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23.3:28.3:48.4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138.63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昌吉回族自治州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2,637.67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11.4:55.5:33.1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276.81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阿克苏地区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2,042.98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22.7:32.4:44.9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169.27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喀什地区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1,752.12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29.8:16:54.2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90.38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巴音郭楞蒙古自治州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1,723.53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11.75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13.3:50.1:36.6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98.27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146.68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克拉玛依市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1,303.96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26.29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1.6:69.1:29.3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106.90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49.59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哈密市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1,162.59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17.22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4.4:67.3:28.3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133.20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塔城地区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1,050.47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9.41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38.1:20.8:41.1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63.83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吐鲁番市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668.10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9.55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15.1:48.7:36.2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64.76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70.15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博尔塔拉蒙古自治州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575.15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19.4:26.5:54.1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45.81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阿勒泰地区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484.21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16.3:29.9:53.8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51.20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克孜勒苏柯尔克孜自治州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272.24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11.1:30.1:58.8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22.16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和田地区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51.73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乌鲁木齐市2025年GDP总量4,658.19亿元、列全省第一位，一般公共预算收入314.39亿元、列全省第一位。整体来看，乌鲁木齐市经济基本面在新疆维吾尔自治区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乌鲁木齐市财政体量在新疆维吾尔自治区稳居第一，税收占比95.23%、税收质量较好，但政府性基金收入较2023年累计增长58%；2025年末宽口径债务率1449.73%、处于偏高水平，已显著高于公认的 300% 偏高临界线，后续偿债压力值得关注。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乌鲁木齐市一般公共预算收入分别为369.79亿元、371.30亿元、314.39亿元，其中税收收入287.84亿元、267.34亿元、299.40亿元，税收占比维持在77.84%、72.00%、95.23%；一般公共预算支出504.05亿元、465.52亿元、569.06亿元，财政自给率73.36%、79.76%、55.25%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政府性基金收入方面，2023、2024、2025年分别为92.03亿元、92.28亿元、145.24亿元，政府性基金收入较2023年累计增长58%，反映地方综合财力对房地产周期的敞口。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图表：2023-2025年乌鲁木齐市财政收入情况(单位:亿元、%)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369.79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371.30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0.41%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314.39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-15.33%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287.84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267.34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-7.12%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299.40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11.99%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77.84%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72.00%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95.23%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504.05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465.52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-7.64%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569.06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22.24%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73.36%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79.76%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55.25%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92.03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92.28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0.27%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145.24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57.39%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资料来源:乌鲁木齐市财政决算、企业预警通,风控信评部整理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土地市场方面，【待补充:乌鲁木齐市土地出让与房地产销售数据（土地市场数据库未覆盖该市）】。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乌鲁木齐市地方政府债务余额分别为1,532.18亿元、2,083.50亿元、2,458.46亿元，2025年末债务限额2,546.68亿元，债务余额控制在限额以内；城投有息债务2025年末估算余额4,211.37亿元。债务率指标看，2025年末政府债务率534.36%、城投债务率915.37%、宽口径债务率1449.73%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乌鲁木齐市财政基本盘较为扎实，但土地财政收缩与债务规模扩张是当前主要压力线；我们预计宽口径债务率短期内将维持偏高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