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克拉玛依市信用评级报告(区域部分)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克拉玛依作为新疆维吾尔自治区下辖地级市，经济总量列新疆维吾尔自治区第七位，人均GDP约26.29万元、人均经济实力居全省前列，经济增速由8.10%回落至4.60%、有所放缓；固定资产投资连续负增长（最新-15.50%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克拉玛依市2023、2024、2025年地区生产总值分别为1,260.50亿元、1,327.00亿元、1,303.96亿元，同比增长8.10%、4.00%、4.60%。截至2025年末，全市常住人口49.59万人，人均GDP约26.29万元（按当年GDP与常住人口估算）。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产业结构方面，2025年克拉玛依市三次产业结构为1.6:69.1:29.3，第二产业占比较高、工业是经济支柱。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2023、2024、2025年固定资产投资增速分别为10.40%、-7.70%、-15.50%，2025年社会消费品零售总额121.42亿元，进出口总额3.40亿美元。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图表：2025年新疆维吾尔自治区各地级市主要经济指标对比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乌鲁木齐市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0.8:27.9:71.3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伊犁哈萨克自治州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23.3:28.3:48.4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昌吉回族自治州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2,637.67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11.4:55.5:33.1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阿克苏地区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22.7:32.4:44.9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喀什地区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29.8:16:54.2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巴音郭楞蒙古自治州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13.3:50.1:36.6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146.68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克拉玛依市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1.6:69.1:29.3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4.4:67.3:28.3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塔城地区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38.1:20.8:41.1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吐鲁番市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15.1:48.7:36.2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博尔塔拉蒙古自治州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19.4:26.5:54.1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阿勒泰地区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16.3:29.9:53.8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克孜勒苏柯尔克孜自治州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11.1:30.1:58.8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和田地区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克拉玛依市2025年GDP总量1,303.96亿元、列全省第七位，一般公共预算收入106.90亿元、列全省第六位。整体来看，克拉玛依市经济基本面在新疆维吾尔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克拉玛依市财政体量在新疆维吾尔自治区处于中游，税收占比57.34%、税收占比处于一般水平，但政府性基金收入较2023年累计下降24%、土地财政贡献度弱化；2025年末宽口径债务率576.59%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克拉玛依市一般公共预算收入分别为110.55亿元、122.24亿元、106.90亿元，其中税收收入72.65亿元、82.20亿元、61.30亿元，税收占比维持在65.72%、67.24%、57.34%；一般公共预算支出126.76亿元、154.57亿元、174.77亿元，财政自给率87.21%、79.09%、61.17%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政府性基金收入方面，2023、2024、2025年分别为7.74亿元、11.67亿元、5.90亿元，政府性基金收入较2023年累计下降24%、土地财政贡献度弱化，反映地方综合财力对房地产周期的敞口。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图表：2023-2025年克拉玛依市财政收入情况(单位:亿元、%)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-25.43%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-49.44%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资料来源:克拉玛依市财政决算、企业预警通,风控信评部整理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土地市场方面，【待补充:克拉玛依市土地出让与房地产销售数据（土地市场数据库未覆盖该市）】。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克拉玛依市地方政府债务余额分别为263.75亿元、270.25亿元、408.28亿元，2025年末债务限额426.04亿元，债务余额控制在限额以内；城投有息债务2025年末估算余额242.11亿元。债务率指标看，2025年末政府债务率361.96%、城投债务率214.64%、宽口径债务率576.59%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克拉玛依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