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ind w:firstLine="0"/>
        <w:jc w:val="center"/>
      </w:pPr>
      <w:r>
        <w:rPr>
          <w:rFonts w:ascii="Times New Roman" w:hAnsi="Times New Roman" w:eastAsia="楷体"/>
          <w:b/>
          <w:color w:val="000000"/>
          <w:sz w:val="28"/>
        </w:rPr>
        <w:t>博尔塔拉蒙古自治州信用评级报告(区域部分)</w:t>
      </w:r>
    </w:p>
    <w:p>
      <w:pPr>
        <w:spacing w:before="200" w:after="100" w:line="360" w:lineRule="auto"/>
        <w:ind w:firstLine="0"/>
      </w:pPr>
      <w:r>
        <w:rPr>
          <w:rFonts w:ascii="Times New Roman" w:hAnsi="Times New Roman" w:eastAsia="楷体"/>
          <w:b/>
          <w:color w:val="000000"/>
          <w:sz w:val="21"/>
        </w:rPr>
        <w:t>一、区域经济分析</w:t>
      </w:r>
    </w:p>
    <w:p>
      <w:pPr>
        <w:spacing w:before="120" w:after="60" w:line="360" w:lineRule="auto"/>
        <w:ind w:firstLine="0"/>
      </w:pPr>
      <w:r>
        <w:rPr>
          <w:rFonts w:ascii="Times New Roman" w:hAnsi="Times New Roman" w:eastAsia="楷体"/>
          <w:b/>
          <w:color w:val="000000"/>
          <w:sz w:val="21"/>
        </w:rPr>
        <w:t>■ 博尔塔拉蒙古自治州作为新疆维吾尔自治区下辖的民族自治地区，经济总量列新疆维吾尔自治区第11位，人均GDP约11.00万元、人均经济实力在省内相对靠后，经济增速由5.50%回升至6.60%、动能边际改善；固定资产投资最新增速11.20%，经济运行总体平稳。</w:t>
      </w:r>
    </w:p>
    <w:p>
      <w:pPr>
        <w:spacing w:before="0" w:after="60" w:line="360" w:lineRule="auto"/>
        <w:ind w:firstLine="420"/>
      </w:pPr>
      <w:r>
        <w:rPr>
          <w:rFonts w:ascii="Times New Roman" w:hAnsi="Times New Roman" w:eastAsia="楷体"/>
          <w:b w:val="0"/>
          <w:color w:val="000000"/>
          <w:sz w:val="21"/>
        </w:rPr>
        <w:t>博尔塔拉蒙古自治州2023、2024、2025年地区生产总值分别为512.72亿元、540.23亿元、575.15亿元，同比增长5.50%、8.60%、6.60%。</w:t>
      </w:r>
    </w:p>
    <w:p>
      <w:pPr>
        <w:spacing w:before="0" w:after="60" w:line="360" w:lineRule="auto"/>
        <w:ind w:firstLine="420"/>
      </w:pPr>
      <w:r>
        <w:rPr>
          <w:rFonts w:ascii="Times New Roman" w:hAnsi="Times New Roman" w:eastAsia="楷体"/>
          <w:b w:val="0"/>
          <w:color w:val="000000"/>
          <w:sz w:val="21"/>
        </w:rPr>
        <w:t>产业结构方面，2025年博尔塔拉蒙古自治州三次产业结构为19.4:26.5:54.1，第三产业占主导、服务业是经济主体，农业基础较好。</w:t>
      </w:r>
    </w:p>
    <w:p>
      <w:pPr>
        <w:spacing w:before="0" w:after="60" w:line="360" w:lineRule="auto"/>
        <w:ind w:firstLine="420"/>
      </w:pPr>
      <w:r>
        <w:rPr>
          <w:rFonts w:ascii="Times New Roman" w:hAnsi="Times New Roman" w:eastAsia="楷体"/>
          <w:b w:val="0"/>
          <w:color w:val="000000"/>
          <w:sz w:val="21"/>
        </w:rPr>
        <w:t>2023、2024、2025年固定资产投资增速分别为8.40%、9.80%、11.20%，2025年社会消费品零售总额63.11亿元，进出口总额90.53亿美元。</w:t>
      </w:r>
    </w:p>
    <w:p>
      <w:pPr>
        <w:spacing w:before="80" w:after="40" w:line="360" w:lineRule="auto"/>
        <w:ind w:firstLine="0"/>
        <w:jc w:val="center"/>
      </w:pPr>
      <w:r>
        <w:rPr>
          <w:rFonts w:ascii="Times New Roman" w:hAnsi="Times New Roman" w:eastAsia="楷体"/>
          <w:b/>
          <w:color w:val="000000"/>
          <w:sz w:val="21"/>
        </w:rPr>
        <w:t>图表：2025年新疆维吾尔自治区各地级市主要经济指标对比</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地级市</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人均GDP(万元)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三次产业结构</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一般预算(亿元)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常住人口(万人)</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乌鲁木齐市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4,658.19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11.25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0.8:27.9:71.3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314.39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415.39</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伊犁哈萨克自治州</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3,470.95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23.3:28.3:48.4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138.63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昌吉回族自治州</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2,637.67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11.4:55.5:33.1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276.81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阿克苏地区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2,042.98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22.7:32.4:44.9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169.27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喀什地区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1,752.12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29.8:16:54.2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90.38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巴音郭楞蒙古自治州</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1,723.53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11.75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13.3:50.1:36.6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98.27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146.68</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克拉玛依市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1,303.96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26.29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1.6:69.1:29.3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106.90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49.59</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哈密市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1,162.59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17.22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4.4:67.3:28.3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133.20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塔城地区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1,050.47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9.41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38.1:20.8:41.1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63.83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吐鲁番市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668.10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9.55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15.1:48.7:36.2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64.76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70.15</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博尔塔拉蒙古自治州</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575.15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19.4:26.5:54.1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45.81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阿勒泰地区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484.21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16.3:29.9:53.8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51.20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克孜勒苏柯尔克孜自治州</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272.24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11.1:30.1:58.8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22.16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和田地区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51.73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bl>
    <w:p>
      <w:pPr>
        <w:spacing w:before="0" w:after="80" w:line="360" w:lineRule="auto"/>
        <w:ind w:firstLine="0"/>
      </w:pPr>
      <w:r>
        <w:rPr>
          <w:rFonts w:ascii="Times New Roman" w:hAnsi="Times New Roman" w:eastAsia="楷体"/>
          <w:b w:val="0"/>
          <w:color w:val="000000"/>
          <w:sz w:val="19"/>
        </w:rPr>
        <w:t>资料来源：各市统计公报、企业预警通，风控信评部整理。注：部分城市人均GDP系按当年GDP与常住人口估算。</w:t>
      </w:r>
    </w:p>
    <w:p>
      <w:pPr>
        <w:spacing w:before="0" w:after="60" w:line="360" w:lineRule="auto"/>
        <w:ind w:firstLine="420"/>
      </w:pPr>
      <w:r>
        <w:rPr>
          <w:rFonts w:ascii="Times New Roman" w:hAnsi="Times New Roman" w:eastAsia="楷体"/>
          <w:b w:val="0"/>
          <w:color w:val="000000"/>
          <w:sz w:val="21"/>
        </w:rPr>
        <w:t>省内对比看，博尔塔拉蒙古自治州2025年GDP总量575.15亿元、列全省第11位，一般公共预算收入45.81亿元、列全省第13位。整体来看，博尔塔拉蒙古自治州经济基本面在新疆维吾尔自治区内具有一定代表性，但需关注固定资产投资走势及新旧动能转换的接续性。</w:t>
      </w:r>
    </w:p>
    <w:p>
      <w:pPr>
        <w:spacing w:before="120" w:after="60" w:line="360" w:lineRule="auto"/>
        <w:ind w:firstLine="0"/>
      </w:pPr>
      <w:r>
        <w:rPr>
          <w:rFonts w:ascii="Times New Roman" w:hAnsi="Times New Roman" w:eastAsia="楷体"/>
          <w:b/>
          <w:color w:val="000000"/>
          <w:sz w:val="21"/>
        </w:rPr>
        <w:t>■ 博尔塔拉蒙古自治州财政体量在新疆维吾尔自治区处于中游，税收占比52.35%、税收占比处于一般水平，但政府性基金收入总体平稳；2025年末宽口径债务率1003.29%、处于偏高水平，已显著高于公认的 300% 偏高临界线，后续偿债压力值得关注。</w:t>
      </w:r>
    </w:p>
    <w:p>
      <w:pPr>
        <w:spacing w:before="0" w:after="60" w:line="360" w:lineRule="auto"/>
        <w:ind w:firstLine="420"/>
      </w:pPr>
      <w:r>
        <w:rPr>
          <w:rFonts w:ascii="Times New Roman" w:hAnsi="Times New Roman" w:eastAsia="楷体"/>
          <w:b w:val="0"/>
          <w:color w:val="000000"/>
          <w:sz w:val="21"/>
        </w:rPr>
        <w:t>财政收入方面，2023、2024、2025年博尔塔拉蒙古自治州一般公共预算收入分别为43.54亿元、49.19亿元、45.81亿元，其中税收收入20.89亿元、20.74亿元、23.98亿元，税收占比维持在47.98%、42.16%、52.35%；一般公共预算支出159.58亿元、162.70亿元、151.54亿元，财政自给率27.29%、30.23%、30.23%。</w:t>
      </w:r>
    </w:p>
    <w:p>
      <w:pPr>
        <w:spacing w:before="0" w:after="60" w:line="360" w:lineRule="auto"/>
        <w:ind w:firstLine="420"/>
      </w:pPr>
      <w:r>
        <w:rPr>
          <w:rFonts w:ascii="Times New Roman" w:hAnsi="Times New Roman" w:eastAsia="楷体"/>
          <w:b w:val="0"/>
          <w:color w:val="000000"/>
          <w:sz w:val="21"/>
        </w:rPr>
        <w:t>政府性基金收入方面，2023、2024、2025年分别为24.92亿元、25.18亿元、25.52亿元，政府性基金收入总体平稳，反映地方综合财力对房地产周期的敞口。</w:t>
      </w:r>
    </w:p>
    <w:p>
      <w:pPr>
        <w:spacing w:before="80" w:after="40" w:line="360" w:lineRule="auto"/>
        <w:ind w:firstLine="0"/>
        <w:jc w:val="center"/>
      </w:pPr>
      <w:r>
        <w:rPr>
          <w:rFonts w:ascii="Times New Roman" w:hAnsi="Times New Roman" w:eastAsia="楷体"/>
          <w:b/>
          <w:color w:val="000000"/>
          <w:sz w:val="21"/>
        </w:rPr>
        <w:t>图表：2023-2025年博尔塔拉蒙古自治州财政收入情况(单位:亿元、%)</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项目</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2023年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2024年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2025年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43.54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49.19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12.98%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45.81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-6.87%</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 xml:space="preserve">　其中:税收收入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20.89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20.74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-0.72%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23.98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15.62%</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税收占比</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47.98%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42.16%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52.35%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一般公共预算支出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159.58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162.70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151.54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-6.86%</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财政自给率</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27.29%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30.23%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30.23%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政府性基金收入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24.92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25.18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25.52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1.35%</w:t>
            </w:r>
          </w:p>
        </w:tc>
      </w:tr>
    </w:tbl>
    <w:p>
      <w:pPr>
        <w:spacing w:before="0" w:after="80" w:line="360" w:lineRule="auto"/>
        <w:ind w:firstLine="0"/>
      </w:pPr>
      <w:r>
        <w:rPr>
          <w:rFonts w:ascii="Times New Roman" w:hAnsi="Times New Roman" w:eastAsia="楷体"/>
          <w:b w:val="0"/>
          <w:color w:val="000000"/>
          <w:sz w:val="19"/>
        </w:rPr>
        <w:t>资料来源:博尔塔拉蒙古自治州财政决算、企业预警通,风控信评部整理</w:t>
      </w:r>
    </w:p>
    <w:p>
      <w:pPr>
        <w:spacing w:before="0" w:after="60" w:line="360" w:lineRule="auto"/>
        <w:ind w:firstLine="420"/>
      </w:pPr>
      <w:r>
        <w:rPr>
          <w:rFonts w:ascii="Times New Roman" w:hAnsi="Times New Roman" w:eastAsia="楷体"/>
          <w:b w:val="0"/>
          <w:color w:val="000000"/>
          <w:sz w:val="21"/>
        </w:rPr>
        <w:t>土地市场方面，【待补充:博尔塔拉蒙古自治州土地出让与房地产销售数据（土地市场数据库未覆盖该市）】。</w:t>
      </w:r>
    </w:p>
    <w:p>
      <w:pPr>
        <w:spacing w:before="0" w:after="60" w:line="360" w:lineRule="auto"/>
        <w:ind w:firstLine="420"/>
      </w:pPr>
      <w:r>
        <w:rPr>
          <w:rFonts w:ascii="Times New Roman" w:hAnsi="Times New Roman" w:eastAsia="楷体"/>
          <w:b w:val="0"/>
          <w:color w:val="000000"/>
          <w:sz w:val="21"/>
        </w:rPr>
        <w:t>政府债务方面，2023、2024、2025年末博尔塔拉蒙古自治州地方政府债务余额分别为342.30亿元、394.38亿元、494.99亿元，2025年末债务限额505.07亿元，债务余额控制在限额以内；城投有息债务2025年末估算余额220.67亿元。债务率指标看，2025年末政府债务率693.93%、城投债务率309.36%、宽口径债务率1003.29%。</w:t>
      </w:r>
    </w:p>
    <w:p>
      <w:pPr>
        <w:spacing w:before="0" w:after="60" w:line="360" w:lineRule="auto"/>
        <w:ind w:firstLine="420"/>
      </w:pPr>
      <w:r>
        <w:rPr>
          <w:rFonts w:ascii="Times New Roman" w:hAnsi="Times New Roman" w:eastAsia="楷体"/>
          <w:b w:val="0"/>
          <w:color w:val="000000"/>
          <w:sz w:val="21"/>
        </w:rPr>
        <w:t>综合来看，博尔塔拉蒙古自治州财政基本盘总体稳健，但土地财政收缩与债务规模扩张是当前主要压力线；我们预计宽口径债务率短期内将维持偏高水平，需重点关注后续化债进展、土地市场企稳情况以及融资平台合规整改对城投再融资能力的影响。</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楷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