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吐鲁番市信用评级报告(区域部分)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吐鲁番作为新疆维吾尔自治区下辖地级市，经济总量列新疆维吾尔自治区第十位，人均GDP约9.55万元、人均经济实力在省内相对靠后，经济增速由9.00%回落至3.30%、有所放缓；固定资产投资最新增速9.40%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吐鲁番市2023、2024、2025年地区生产总值分别为588.11亿元、640.42亿元、668.10亿元，同比增长9.00%、9.10%、3.30%。截至2025年末，全市常住人口70.15万人，人均GDP约9.55万元。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产业结构方面，2025年吐鲁番市三次产业结构为15.1:48.7:36.2，第二产业占比较高、工业是经济支柱，农业基础较好。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2023、2024、2025年固定资产投资增速分别为21.00%、28.80%、9.40%，2025年社会消费品零售总额63.58亿元，进出口总额1.69亿美元。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吐鲁番市2025年GDP总量668.10亿元、列全省第十位，一般公共预算收入64.76亿元、列全省第九位。整体来看，吐鲁番市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吐鲁番市财政体量在新疆维吾尔自治区处于中游，税收占比46.73%、税收占比处于一般水平，但政府性基金收入总体平稳；2025年末宽口径债务率506.09%、处于偏高水平，已显著高于公认的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吐鲁番市一般公共预算收入分别为68.20亿元、71.96亿元、64.76亿元，其中税收收入39.82亿元、40.05亿元、30.26亿元，税收占比维持在58.38%、55.65%、46.73%；一般公共预算支出119.66亿元、132.59亿元、151.43亿元，财政自给率57.00%、54.28%、42.77%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政府性基金收入方面，2023、2024、2025年分别为8.41亿元、8.67亿元、7.75亿元，政府性基金收入总体平稳，反映地方综合财力对房地产周期的敞口。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图表：2023-2025年吐鲁番市财政收入情况(单位:亿元、%)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-24.44%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-10.61%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资料来源:吐鲁番市财政决算、企业预警通,风控信评部整理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土地市场方面，【待补充:吐鲁番市土地出让与房地产销售数据（土地市场数据库未覆盖该市）】。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吐鲁番市地方政府债务余额分别为232.54亿元、281.65亿元、346.45亿元，2025年末债务限额352.68亿元，债务余额控制在限额以内；城投有息债务2025年末估算余额23.77亿元。债务率指标看，2025年末政府债务率473.60%、城投债务率32.49%、宽口径债务率506.09%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吐鲁番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