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和田地区信用评级报告(区域部分)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和田地区作为新疆维吾尔自治区下辖的民族自治地区，经济总量列新疆维吾尔自治区第14位，人均经济实力居省内中游，经济增速由5.00%回升至6.60%、动能边际改善；固定资产投资最新增速9.90%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和田地区2023、2024、2025年地区生产总值分别为525.91亿元、598.36亿元、—亿元，同比增长5.00%、6.40%、6.60%。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产业结构方面，和田地区作为新疆维吾尔自治区下辖的民族自治地区，区域产业结构以本地优势产业为主。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2023、2024、2025年固定资产投资增速分别为1.10%、2.50%、9.90%，进出口总额4.59亿美元。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和田地区2025年GDP总量—亿元、列全省第14位，一般公共预算收入51.73亿元、列全省第11位。整体来看，和田地区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和田地区财政体量在新疆维吾尔自治区处于中游，税收占比41.87%、税收占比处于一般水平，但政府性基金收入总体平稳；2025年末宽口径债务率1288.25%、处于偏高水平，已显著高于公认的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和田地区一般公共预算收入分别为49.10亿元、57.02亿元、51.73亿元，其中税收收入24.67亿元、26.54亿元、21.66亿元，税收占比维持在50.24%、46.54%、41.87%；一般公共预算支出460.49亿元、460.62亿元、454.22亿元，财政自给率10.66%、12.38%、11.39%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政府性基金收入方面，2023、2024、2025年分别为13.28亿元、13.96亿元、12.16亿元，政府性基金收入总体平稳，反映地方综合财力对房地产周期的敞口。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图表：2023-2025年和田地区财政收入情况(单位:亿元、%)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-12.89%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资料来源:和田地区财政决算、企业预警通,风控信评部整理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土地市场方面，【待补充:和田地区土地出让与房地产销售数据（土地市场数据库未覆盖该市）】。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和田地区地方政府债务余额分别为551.20亿元、664.76亿元、811.84亿元，2025年末债务限额818.26亿元，债务余额控制在限额以内；城投有息债务2025年末估算余额19.39亿元。债务率指标看，2025年末政府债务率1258.19%、城投债务率30.06%、宽口径债务率1288.25%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和田地区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