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哈密市信用评级报告(区域部分)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哈密作为新疆维吾尔自治区下辖地级市，经济总量列新疆维吾尔自治区第八位，人均GDP约17.22万元、人均经济实力居全省前列，经济增速由11.50%回落至9.30%、有所放缓；固定资产投资最新增速35.90%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哈密市2023、2024、2025年地区生产总值分别为984.50亿元、1,084.39亿元、1,162.59亿元，同比增长11.50%、10.30%、9.30%。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产业结构方面，2025年哈密市三次产业结构为4.4:67.3:28.3，第二产业占比较高、工业是经济支柱。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2023、2024、2025年固定资产投资增速分别为36.00%、45.90%、35.90%，2025年社会消费品零售总额112.46亿元，进出口总额2.22亿美元。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图表：2025年新疆维吾尔自治区各地级市主要经济指标对比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乌鲁木齐市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4,658.19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0.8:27.9:71.3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415.39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伊犁哈萨克自治州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3,470.95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23.3:28.3:48.4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昌吉回族自治州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2,637.67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11.4:55.5:33.1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阿克苏地区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22.7:32.4:44.9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喀什地区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29.8:16:54.2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巴音郭楞蒙古自治州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13.3:50.1:36.6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146.68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克拉玛依市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1.6:69.1:29.3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49.59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1,162.59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4.4:67.3:28.3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塔城地区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38.1:20.8:41.1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吐鲁番市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15.1:48.7:36.2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博尔塔拉蒙古自治州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19.4:26.5:54.1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阿勒泰地区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16.3:29.9:53.8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克孜勒苏柯尔克孜自治州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272.24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11.1:30.1:58.8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和田地区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哈密市2025年GDP总量1,162.59亿元、列全省第八位，一般公共预算收入133.20亿元、列全省第五位。整体来看，哈密市经济基本面在新疆维吾尔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哈密市财政体量在新疆维吾尔自治区处于中游，税收占比69.59%、税收质量较好，但政府性基金收入较2023年累计增长54%；2025年末宽口径债务率394.91%、处于偏高水平，已显著高于公认的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哈密市一般公共预算收入分别为107.51亿元、120.51亿元、133.20亿元，其中税收收入92.17亿元、100.42亿元、92.70亿元，税收占比维持在85.73%、83.32%、69.59%；一般公共预算支出180.35亿元、199.91亿元、233.43亿元，财政自给率59.61%、60.28%、57.06%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政府性基金收入方面，2023、2024、2025年分别为20.09亿元、18.48亿元、30.94亿元，政府性基金收入较2023年累计增长54%，反映地方综合财力对房地产周期的敞口。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图表：2023-2025年哈密市财政收入情况(单位:亿元、%)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资料来源:哈密市财政决算、企业预警通,风控信评部整理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土地市场方面，【待补充:哈密市土地出让与房地产销售数据（土地市场数据库未覆盖该市）】。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哈密市地方政府债务余额分别为318.99亿元、354.62亿元、394.83亿元，2025年末债务限额427.95亿元，债务余额控制在限额以内；城投有息债务2025年末估算余额256.43亿元。债务率指标看，2025年末政府债务率239.41%、城投债务率155.49%、宽口径债务率394.91%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哈密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