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喀什地区信用评级报告(区域部分)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喀什地区作为新疆维吾尔自治区下辖的民族自治地区，经济总量列新疆维吾尔自治区第五位，人均经济实力居省内中游，经济增速维持在6.40%左右、总体平稳；固定资产投资最新增速9.90%，经济运行总体平稳。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喀什地区2023、2024、2025年地区生产总值分别为1,565.55亿元、1,626.88亿元、1,752.12亿元，同比增长6.60%、6.10%、6.40%。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产业结构方面，2025年喀什地区三次产业结构为29.8:16:54.2，第三产业占主导、服务业是经济主体，农业基础较好。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2023、2024、2025年固定资产投资增速分别为7.40%、2.00%、9.90%，2025年社会消费品零售总额393.35亿元，进出口总额162.23亿美元。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喀什地区2025年GDP总量1,752.12亿元、列全省第五位，一般公共预算收入90.38亿元、列全省第八位。整体来看，喀什地区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喀什地区财政体量在新疆维吾尔自治区处于中游，税收占比66.86%、税收质量较好，但政府性基金收入较2023年累计增长39%；2025年末宽口径债务率909.13%、处于偏高水平，已显著高于公认的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喀什地区一般公共预算收入分别为86.43亿元、100.35亿元、90.38亿元，其中税收收入46.70亿元、50.57亿元、60.43亿元，税收占比维持在54.04%、50.39%、66.86%；一般公共预算支出773.41亿元、796.30亿元、813.03亿元，财政自给率11.17%、12.60%、11.12%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政府性基金收入方面，2023、2024、2025年分别为26.91亿元、45.24亿元、37.44亿元，政府性基金收入较2023年累计增长39%，反映地方综合财力对房地产周期的敞口。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图表：2023-2025年喀什地区财政收入情况(单位:亿元、%)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813.03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资料来源:喀什地区财政决算、企业预警通,风控信评部整理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土地市场方面，【待补充:喀什地区土地出让与房地产销售数据（土地市场数据库未覆盖该市）】。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喀什地区地方政府债务余额分别为767.73亿元、966.50亿元、1,104.67亿元，2025年末债务限额1,148.84亿元，债务余额控制在限额以内；城投有息债务2025年末估算余额68.86亿元。债务率指标看，2025年末政府债务率855.78%、城投债务率53.35%、宽口径债务率909.13%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喀什地区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