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松原市信用评级报告(区域部分)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松原经济总量列吉林省第四位，人均GDP约—万元、人均经济实力居省内中游，经济增速由5.90%回落至4.20%、有所放缓；固定资产投资连续负增长（最新-29.00%），经济动能仍有待修复。【待补充：松原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松原市2023、2024、2025年地区生产总值分别为892.72亿元、1,002.18亿元、1,030.60亿元，同比增长5.90%、3.80%、4.20%。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产业结构方面，2025年松原市三次产业结构为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2023、2024、2025年固定资产投资增速分别为3.10%、-5.10%、-29.00%，2025年社会消费品零售总额242.50亿元，进出口总额1.84亿美元。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省内对比看，松原市2025年GDP总量1,030.60亿元、列全省第四位。整体来看，松原市经济基本面在吉林省内具有一定代表性，但需关注固定资产投资走势及新旧动能转换的接续性。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松原市财政体量在吉林省处于中游，税收占比—、税收占比处于一般水平；2025年末宽口径债务率—、处于水平待评估水平，。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松原市一般公共预算收入分别为46.10亿元、69.64亿元、—亿元，其中税收收入27.59亿元、25.74亿元、—亿元，税收占比维持在59.85%、36.97%、—；一般公共预算支出310.90亿元、361.27亿元、—亿元，财政自给率14.83%、19.28%、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政府性基金收入方面，2023年分别为13.10亿元。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图表：2023-2025年松原市财政收入情况(单位:亿元、%)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资料来源:松原市财政决算、企业预警通,风控信评部整理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土地市场方面，【待补充:松原市土地出让与房地产销售数据（土地市场数据库未覆盖该市）】。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松原市地方政府债务余额分别为261.84亿元、309.88亿元、334.00亿元，2025年末债务限额336.30亿元，债务余额控制在限额以内；城投有息债务2025年末估算余额78.35亿元。债务率指标看，2025年末政府债务率—、城投债务率—、宽口径债务率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松原市财政基本盘总体稳健，但土地财政收缩与债务规模扩张是当前主要压力线；我们预计宽口径债务率短期内将维持水平待评估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