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白城市信用评级报告(区域部分)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白城经济总量列吉林省第五位，人均GDP约—万元、人均经济实力居省内中游，经济增速由6.00%回落至4.40%、有所放缓；固定资产投资最新增速10.00%，经济运行总体平稳。【待补充：白城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白城市2023、2024、2025年地区生产总值分别为601.69亿元、611.83亿元、626.52亿元，同比增长6.00%、4.80%、4.40%。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产业结构方面，2025年白城市三次产业结构为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2023、2024、2025年固定资产投资增速分别为3.10%、9.80%、10.00%，2025年社会消费品零售总额119.10亿元，进出口总额4.40亿美元。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图表：2025年吉林省各地级市主要经济指标对比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8,005.59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6.6:34.6:58.8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12.4:37.4:50.2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延边朝鲜族自治州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1,064.08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8:32.8:59.2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松原市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四平市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547.09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白城市2025年GDP总量626.52亿元、列全省第五位，一般公共预算收入44.36亿元、列全省第五位。整体来看，白城市经济基本面在吉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白城市财政体量在吉林省处于中游，税收占比—、税收占比处于一般水平；2025年末宽口径债务率470.85%、处于偏高水平，已显著高于公认的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白城市一般公共预算收入分别为28.57亿元、32.33亿元、44.36亿元，其中税收收入15.67亿元、15.62亿元、—亿元，税收占比维持在54.86%、48.32%、—；一般公共预算支出289.35亿元、319.13亿元、295.89亿元，财政自给率9.87%、10.13%、14.99%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政府性基金收入方面，2024年分别为9.06亿元。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图表：2023-2025年白城市财政收入情况(单位:亿元、%)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37.21%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289.35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319.13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295.89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-7.28%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资料来源:白城市财政决算、企业预警通,风控信评部整理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土地市场方面，【待补充:白城市土地出让与房地产销售数据（土地市场数据库未覆盖该市）】。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白城市地方政府债务余额分别为151.30亿元、158.44亿元、166.30亿元，2025年末债务限额168.50亿元，债务余额控制在限额以内；城投有息债务2025年末估算余额42.57亿元。债务率指标看，2025年末政府债务率374.89%、城投债务率95.96%、宽口径债务率470.85%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白城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