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白山市信用评级报告(区域部分)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白山经济总量列吉林省第八位，人均GDP约—万元、人均经济实力居省内中游，经济增速维持在5.60%左右、总体平稳；固定资产投资连续负增长（最新-10.20%），经济动能仍有待修复。【待补充：白山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白山市2023、2024、2025年地区生产总值分别为554.62亿元、567.85亿元、590.17亿元，同比增长5.30%、3.40%、5.60%。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产业结构方面，2025年白山市三次产业结构为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2023、2024、2025年固定资产投资增速分别为-18.20%、4.10%、-10.20%，2025年社会消费品零售总额110.50亿元，进出口总额1.67亿美元。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图表：2025年吉林省各地级市主要经济指标对比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8,005.59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6.6:34.6:58.8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12.4:37.4:50.2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延边朝鲜族自治州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1,064.08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8:32.8:59.2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松原市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四平市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547.09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白山市2025年GDP总量590.17亿元、列全省第八位，一般公共预算收入36.80亿元、列全省第六位。整体来看，白山市经济基本面在吉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白山市财政体量在吉林省处于中游，税收占比41.66%、税收占比处于一般水平，但政府性基金收入总体平稳；2025年末宽口径债务率530.70%、处于偏高水平，已显著高于公认的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白山市一般公共预算收入分别为28.48亿元、24.45亿元、36.80亿元，其中税收收入14.91亿元、14.74亿元、15.33亿元，税收占比维持在52.36%、60.30%、41.66%；一般公共预算支出176.76亿元、215.51亿元、230.21亿元，财政自给率16.11%、11.34%、15.98%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政府性基金收入方面，2023、2024、2025年分别为4.30亿元、5.64亿元、4.61亿元，政府性基金收入总体平稳，反映地方综合财力对房地产周期的敞口。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图表：2023-2025年白山市财政收入情况(单位:亿元、%)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-14.15%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50.51%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176.76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-18.26%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资料来源:白山市财政决算、企业预警通,风控信评部整理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土地市场方面，【待补充:白山市土地出让与房地产销售数据（土地市场数据库未覆盖该市）】。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白山市地方政府债务余额分别为190.30亿元、217.20亿元、238.50亿元，2025年末债务限额240.50亿元，债务余额控制在限额以内；城投有息债务2025年末估算余额4.00亿元。债务率指标看，2025年末政府债务率521.94%、城投债务率8.75%、宽口径债务率530.70%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白山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