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长春市信用评级报告(区域部分)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长春经济总量在吉林省稳居第一，人均GDP约8.79万元、人均经济实力居全省前列，经济增速由6.80%回落至4.90%、有所放缓；固定资产投资最新增速转负（-16.50%），经济动能仍有待修复。【待补充：长春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长春市2023、2024、2025年地区生产总值分别为7,501.30亿元、7,605.61亿元、8,005.59亿元，同比增长6.80%、4.70%、4.90%。截至2025年末，全市常住人口910.50万人，人均GDP约8.79万元（按当年GDP与常住人口估算）。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产业结构方面，2025年长春市三次产业结构为6.6:34.6:58.8。【待补充：支柱产业、主要龙头企业、对外贸易等定性描述（数据库未覆盖）】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2023、2024、2025年固定资产投资增速分别为4.20%、1.10%、-16.50%，2025年社会消费品零售总额2,551.17亿元，进出口总额148.11亿美元。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图表：2025年吉林省各地级市主要经济指标对比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8,005.59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6.6:34.6:58.8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12.4:37.4:50.2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延边朝鲜族自治州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1,064.08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8:32.8:59.2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松原市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四平市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547.09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长春市2025年GDP总量8,005.59亿元、列全省第一位，一般公共预算收入424.17亿元、列全省第一位。整体来看，长春市经济基本面在吉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长春市财政体量在吉林省稳居第一，税收占比62.44%、税收质量较好，但政府性基金收入较2023年累计下降33%、土地财政贡献度弱化；2025年末宽口径债务率955.42%、处于偏高水平，已显著高于公认的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长春市一般公共预算收入分别为576.52亿元、427.48亿元、424.17亿元，其中税收收入422.98亿元、269.30亿元、264.87亿元，税收占比维持在73.37%、63.00%、62.44%；一般公共预算支出1,074.97亿元、1,056.21亿元、1,145.19亿元，财政自给率53.63%、40.47%、37.04%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政府性基金收入方面，2023、2024、2025年分别为423.02亿元、332.65亿元、281.93亿元，政府性基金收入较2023年累计下降33%、土地财政贡献度弱化，反映地方综合财力对房地产周期的敞口。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图表：2023-2025年长春市财政收入情况(单位:亿元、%)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1,074.97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1,145.19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423.02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-15.25%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资料来源:长春市财政决算、企业预警通,风控信评部整理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土地市场方面，【待补充:长春市土地出让与房地产销售数据（土地市场数据库未覆盖该市）】。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长春市地方政府债务余额分别为2,863.23亿元、3,158.37亿元、3,478.40亿元，2025年末债务限额3,511.30亿元，债务余额控制在限额以内；城投有息债务2025年末估算余额3,676.77亿元。债务率指标看，2025年末政府债务率464.47%、城投债务率490.96%、宽口径债务率955.42%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长春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