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乐山市信用评级报告(区域部分)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乐山经济总量列四川省第九位，人均GDP约—万元、人均经济实力居省内中游，经济增速由6.50%回落至3.10%、有所放缓；固定资产投资最新增速5.30%，经济运行总体平稳。【待补充：乐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乐山市2023、2024、2025年地区生产总值分别为2,448.10亿元、2,427.64亿元、2,501.54亿元，同比增长6.50%、4.30%、3.10%。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产业结构方面，2025年乐山市三次产业结构为10.7:38.7:50.6。【待补充：支柱产业、主要龙头企业、对外贸易等定性描述（数据库未覆盖）】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2023、2024、2025年固定资产投资增速分别为18.00%、3.40%、5.30%，2025年社会消费品零售总额1,004.10亿元，进出口总额10.82亿美元。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乐山市2025年GDP总量2,501.54亿元、列全省第九位，一般公共预算收入172.16亿元、列全省第八位。整体来看，乐山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乐山市财政体量在四川省处于中游，税收占比46.35%、税收占比处于一般水平，但政府性基金收入较2023年累计增长25%；2025年末宽口径债务率298.61%、处于中等偏高水平，处于相对偏高区间，需关注债务扩张节奏。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乐山市一般公共预算收入分别为159.60亿元、163.06亿元、172.16亿元，其中税收收入86.47亿元、74.73亿元、79.81亿元，税收占比维持在54.18%、45.83%、46.35%；一般公共预算支出360.52亿元、378.00亿元、411.33亿元，财政自给率44.27%、43.14%、41.86%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政府性基金收入方面，2023、2024、2025年分别为126.72亿元、135.75亿元、157.80亿元，政府性基金收入较2023年累计增长25%，反映地方综合财力对房地产周期的敞口。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图表：2023-2025年乐山市财政收入情况(单位:亿元、%)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411.33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资料来源:乐山市财政决算、企业预警通,风控信评部整理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土地市场方面，【待补充:乐山市土地出让与房地产销售数据（土地市场数据库未覆盖该市）】。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乐山市地方政府债务余额分别为747.90亿元、919.60亿元、1,129.00亿元，2025年末债务限额1,192.90亿元，债务余额控制在限额以内；城投有息债务2025年末估算余额880.97亿元。债务率指标看，2025年末政府债务率167.73%、城投债务率130.88%、宽口径债务率298.61%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乐山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