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内江市信用评级报告(区域部分)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内江经济总量列四川省第十位，人均GDP约6.75万元、人均经济实力在省内相对靠后，经济增速由7.00%回落至6.60%、有所放缓；固定资产投资最新增速6.50%，经济运行总体平稳。【待补充：内江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内江市2023、2024、2025年地区生产总值分别为1,826.51亿元、1,936.44亿元、2,050.66亿元，同比增长7.00%、6.70%、6.60%。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产业结构方面，2025年内江市三次产业结构为13.4:34.4:52.2。【待补充：支柱产业、主要龙头企业、对外贸易等定性描述（数据库未覆盖）】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2023、2024、2025年固定资产投资增速分别为13.90%、8.10%、6.50%，2025年社会消费品零售总额806.80亿元，进出口总额14.70亿美元。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内江市2025年GDP总量2,050.66亿元、列全省第十位，一般公共预算收入93.43亿元、列全省第14位。整体来看，内江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内江市财政体量在四川省处于中游，税收占比42.16%、税收占比处于一般水平，但政府性基金收入总体平稳；2025年末宽口径债务率748.04%、处于偏高水平，已显著高于公认的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内江市一般公共预算收入分别为85.21亿元、91.52亿元、93.43亿元，其中税收收入39.64亿元、37.61亿元、39.39亿元，税收占比维持在46.52%、41.10%、42.16%；一般公共预算支出308.70亿元、350.82亿元、360.33亿元，财政自给率27.60%、26.09%、25.93%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政府性基金收入方面，2023、2024、2025年分别为113.86亿元、120.58亿元、118.79亿元，政府性基金收入总体平稳，反映地方综合财力对房地产周期的敞口。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图表：2023-2025年内江市财政收入情况(单位:亿元、%)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350.82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-1.48%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资料来源:内江市财政决算、企业预警通,风控信评部整理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土地市场方面，【待补充:内江市土地出让与房地产销售数据（土地市场数据库未覆盖该市）】。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内江市地方政府债务余额分别为698.70亿元、844.40亿元、982.60亿元，2025年末债务限额1,039.90亿元，债务余额控制在限额以内；城投有息债务2025年末估算余额618.39亿元。债务率指标看，2025年末政府债务率459.10%、城投债务率288.93%、宽口径债务率748.04%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内江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