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南充市信用评级报告(区域部分)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南充经济总量列四川省第七位，人均GDP约5.32万元、人均经济实力在省内相对靠后，经济增速由5.50%回落至3.30%、有所放缓；固定资产投资最新增速转负（-48.00%），经济动能仍有待修复。【待补充：南充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南充市2023、2024、2025年地区生产总值分别为2,740.78亿元、2,835.80亿元、2,901.76亿元，同比增长5.50%、5.00%、3.30%。截至2025年末，全市常住人口541.50万人，人均GDP约5.32万元。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产业结构方面，2025年南充市三次产业结构为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2023、2024、2025年固定资产投资增速分别为12.70%、1.00%、-48.00%，2025年社会消费品零售总额1,684.80亿元，进出口总额17.86亿美元。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南充市2025年GDP总量2,901.76亿元、列全省第七位，一般公共预算收入118.95亿元、列全省第十位。整体来看，南充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南充市财政体量在四川省处于中游，税收占比51.70%、税收占比处于一般水平，但政府性基金收入较2023年累计增长40%；2025年末宽口径债务率232.21%、处于中等偏高水平，处于相对偏高区间，需关注债务扩张节奏。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南充市一般公共预算收入分别为110.20亿元、115.73亿元、118.95亿元，其中税收收入55.22亿元、58.25亿元、61.50亿元，税收占比维持在50.11%、50.34%、51.70%；一般公共预算支出556.50亿元、590.59亿元、607.99亿元，财政自给率19.80%、19.59%、19.56%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政府性基金收入方面，2023、2024、2025年分别为135.21亿元、148.11亿元、188.70亿元，政府性基金收入较2023年累计增长40%，反映地方综合财力对房地产周期的敞口。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图表：2023-2025年南充市财政收入情况(单位:亿元、%)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607.99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27.41%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资料来源:南充市财政决算、企业预警通,风控信评部整理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土地市场方面，【待补充:南充市土地出让与房地产销售数据（土地市场数据库未覆盖该市）】。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南充市地方政府债务余额分别为1,111.00亿元、1,311.70亿元、1,519.40亿元，2025年末债务限额1,590.80亿元，债务余额控制在限额以内；城投有息债务2025年末估算余额734.28亿元。债务率指标看，2025年末政府债务率156.55%、城投债务率75.66%、宽口径债务率232.21%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南充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