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宜宾市信用评级报告(区域部分)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宜宾经济总量列四川省第三位，人均GDP约—万元、人均经济实力居省内中游，经济增速由7.50%回落至5.50%、有所放缓；固定资产投资连续负增长（最新-9.30%），经济动能仍有待修复。【待补充：宜宾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宜宾市2023、2024、2025年地区生产总值分别为3,819.61亿元、4,008.01亿元、4,134.73亿元，同比增长7.50%、5.10%、5.50%。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产业结构方面，2025年宜宾市三次产业结构为8.7:48.2:43.1。【待补充：支柱产业、主要龙头企业、对外贸易等定性描述（数据库未覆盖）】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2023、2024、2025年固定资产投资增速分别为-9.90%、-18.40%、-9.30%，2025年社会消费品零售总额1,187.60亿元，进出口总额43.44亿美元。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图表：2025年四川省各地级市主要经济指标对比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成都市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24,763.60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2.2:27.9:69.9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2153.50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4,600.66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7.8:40:52.2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4,134.73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8.7:48.2:43.1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3,387.10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8.2:49.5:42.3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3,004.29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8.9:46.6:44.5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达州市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2,990.90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14.3:28.1:57.6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南充市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2,901.76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凉山彝族自治州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20.6:32.3:47.1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10.7:38.7:50.6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内江市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2,050.66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13.4:34.4:52.2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眉山市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11.8:39.6:48.6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自贡市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11.9:28.2:59.9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遂宁市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10.6:42.9:46.5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274.70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1,700.87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13.7:28.2:58.1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攀枝花市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1,409.57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7.3:54.8:37.9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16.3:32.3:51.4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1,150.81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18.8:28.3:52.9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雅安市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1,131.60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14.2:31.1:54.7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21.6:19.1:59.3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甘孜藏族自治州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15.06:30.27:54.67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阿坝藏族羌族自治州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19.4:23.6:57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宜宾市2025年GDP总量4,134.73亿元、列全省第三位，一般公共预算收入333.90亿元、列全省第二位。整体来看，宜宾市经济基本面在四川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宜宾市财政体量在四川省位居前列，税收占比58.08%、税收占比处于一般水平，但政府性基金收入较2023年累计下降25%、土地财政贡献度弱化；2025年末宽口径债务率333.71%、处于偏高水平，已显著高于公认的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宜宾市一般公共预算收入分别为313.99亿元、324.30亿元、333.90亿元，其中税收收入184.57亿元、190.78亿元、193.92亿元，税收占比维持在58.78%、58.83%、58.08%；一般公共预算支出663.69亿元、671.43亿元、702.01亿元，财政自给率47.31%、48.30%、47.56%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政府性基金收入方面，2023、2024、2025年分别为199.39亿元、165.93亿元、149.60亿元，政府性基金收入较2023年累计下降25%、土地财政贡献度弱化，反映地方综合财力对房地产周期的敞口。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图表：2023-2025年宜宾市财政收入情况(单位:亿元、%)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313.99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663.69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671.43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702.01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-16.78%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-9.84%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资料来源:宜宾市财政决算、企业预警通,风控信评部整理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宜宾市经营性用地成交价分别为162.43亿元、150.29亿元、94.09亿元、97.25亿元、46.72亿元，2025年较2021年下降71.24%；同期平均溢价率为14.08%、2.00%、5.44%、7.50%、5.72%；成交楼面均价由1,253元/㎡降至602元/㎡、累计下降51.96%。2026年1-4月，宜宾市经营性用地累计成交51宗、规划建面315.83万㎡、成交价24.24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图表:2021-2025年宜宾市土地出让情况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1,324.05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1,253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14.08%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162.43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1,721.03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150.29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1,053.40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5.44%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94.09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1,254.86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7.50%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97.25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770.59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5.72%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46.72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315.83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24.24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从房地产销售看，2021-2025年宜宾市商品住宅成交面积由34.21万㎡变动至50.43万㎡；新房均价2025年为7,805元/㎡、较2023年高点(8,111元/㎡)累计下跌3.77%。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宜宾市地方政府债务余额分别为1,101.90亿元、1,348.20亿元、1,595.80亿元，2025年末债务限额1,647.40亿元，债务余额控制在限额以内；城投有息债务2025年末估算余额1,993.60亿元。债务率指标看，2025年末政府债务率148.36%、城投债务率185.35%、宽口径债务率333.71%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宜宾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