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巴中市信用评级报告(区域部分)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巴中经济总量列四川省第19位，人均GDP约3.53万元、人均经济实力在省内相对靠后，经济增速维持在6.00%左右、总体平稳；固定资产投资最新增速6.70%，经济运行总体平稳。【待补充：巴中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巴中市2023、2024、2025年地区生产总值分别为811.81亿元、870.51亿元、916.64亿元，同比增长6.00%、6.30%、6.00%。截至2025年末，全市常住人口257.80万人，人均GDP约3.53万元。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产业结构方面，2025年巴中市三次产业结构为21.6:19.1:59.3。【待补充：支柱产业、主要龙头企业、对外贸易等定性描述（数据库未覆盖）】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2023、2024、2025年固定资产投资增速分别为55.80%、8.04%、6.70%，2025年社会消费品零售总额543.03亿元，进出口总额0.77亿美元。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巴中市2025年GDP总量916.64亿元、列全省第19位，一般公共预算收入75.41亿元、列全省第18位。整体来看，巴中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巴中市财政体量在四川省处于中游，税收占比36.29%、税收占比处于一般水平，但政府性基金收入较2023年累计增长11%；2025年末宽口径债务率728.93%、处于偏高水平，已显著高于公认的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巴中市一般公共预算收入分别为56.07亿元、65.41亿元、75.41亿元，其中税收收入23.79亿元、25.63亿元、27.36亿元，税收占比维持在42.44%、39.19%、36.29%；一般公共预算支出339.78亿元、404.41亿元、375.05亿元，财政自给率16.50%、16.17%、20.11%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政府性基金收入方面，2023、2024、2025年分别为112.00亿元、111.22亿元、123.94亿元，政府性基金收入较2023年累计增长11%，反映地方综合财力对房地产周期的敞口。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图表：2023-2025年巴中市财政收入情况(单位:亿元、%)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404.41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375.05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-7.26%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资料来源:巴中市财政决算、企业预警通,风控信评部整理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土地市场方面，【待补充:巴中市土地出让与房地产销售数据（土地市场数据库未覆盖该市）】。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巴中市地方政府债务余额分别为800.40亿元、951.30亿元、1,096.50亿元，2025年末债务限额1,156.80亿元，债务余额控制在限额以内；城投有息债务2025年末估算余额414.16亿元。债务率指标看，2025年末政府债务率529.09%、城投债务率199.84%、宽口径债务率728.93%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巴中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