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广安市信用评级报告(区域部分)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广安经济总量列四川省第14位，人均GDP约—万元、人均经济实力居省内中游，经济增速由6.60%回落至5.70%、有所放缓；固定资产投资连续负增长（最新-6.00%），经济动能仍有待修复。【待补充：广安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广安市2023、2024、2025年地区生产总值分别为1,525.24亿元、1,600.40亿元、1,700.87亿元，同比增长6.60%、6.40%、5.70%。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产业结构方面，2025年广安市三次产业结构为13.7:28.2:58.1。【待补充：支柱产业、主要龙头企业、对外贸易等定性描述（数据库未覆盖）】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2023、2024、2025年固定资产投资增速分别为39.20%、-17.90%、-6.00%，2025年社会消费品零售总额767.60亿元，进出口总额4.32亿美元。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广安市2025年GDP总量1,700.87亿元、列全省第14位，一般公共预算收入109.01亿元、列全省第11位。整体来看，广安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广安市财政体量在四川省处于中游，税收占比33.81%、税收占比处于一般水平，但政府性基金收入较2023年累计下降26%、土地财政贡献度弱化；2025年末宽口径债务率657.10%、处于偏高水平，已显著高于公认的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广安市一般公共预算收入分别为105.67亿元、108.86亿元、109.01亿元，其中税收收入47.70亿元、42.88亿元、36.86亿元，税收占比维持在45.14%、39.39%、33.81%；一般公共预算支出347.26亿元、380.05亿元、388.79亿元，财政自给率30.43%、28.64%、28.04%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政府性基金收入方面，2023、2024、2025年分别为131.29亿元、116.97亿元、97.40亿元，政府性基金收入较2023年累计下降26%、土地财政贡献度弱化，反映地方综合财力对房地产周期的敞口。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图表：2023-2025年广安市财政收入情况(单位:亿元、%)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116.97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-16.73%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资料来源:广安市财政决算、企业预警通,风控信评部整理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土地市场方面，【待补充:广安市土地出让与房地产销售数据（土地市场数据库未覆盖该市）】。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广安市地方政府债务余额分别为678.10亿元、812.20亿元、968.03亿元，2025年末债务限额1,000.70亿元，债务余额控制在限额以内；城投有息债务2025年末估算余额394.72亿元。债务率指标看，2025年末政府债务率466.77%、城投债务率190.33%、宽口径债务率657.10%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广安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