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成都市信用评级报告(区域部分)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成都经济总量在四川省稳居第一，人均GDP约11.52万元、人均经济实力居全省前列，经济增速维持在5.80%左右、总体平稳；固定资产投资最新增速2.20%，经济运行总体平稳。【待补充：成都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成都市2023、2024、2025年地区生产总值分别为22,336.60亿元、23,519.50亿元、24,763.60亿元，同比增长6.10%、5.70%、5.80%。截至2025年末，全市常住人口2153.50万人，人均GDP约11.52万元。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产业结构方面，2025年成都市三次产业结构为2.2:27.9:69.9。【待补充：支柱产业、主要龙头企业、对外贸易等定性描述（数据库未覆盖）】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2023、2024、2025年固定资产投资增速分别为-19.40%、7.30%、2.20%，2025年社会消费品零售总额11,434.10亿元，进出口总额1,190.31亿美元。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成都市2025年GDP总量24,763.60亿元、列全省第一位，一般公共预算收入2,000.71亿元、列全省第一位。整体来看，成都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成都市财政体量在四川省稳居第一，税收占比70.42%、税收质量较好，但政府性基金收入较2023年累计下降32%、土地财政贡献度弱化；2025年末宽口径债务率924.46%、处于偏高水平，已显著高于公认的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成都市一般公共预算收入分别为1,929.06亿元、1,949.50亿元、2,000.71亿元，其中税收收入1,449.38亿元、1,373.64亿元、1,408.87亿元，税收占比维持在75.13%、70.46%、70.42%；一般公共预算支出2,586.83亿元、2,610.39亿元、2,680.05亿元，财政自给率74.57%、74.68%、74.65%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政府性基金收入方面，2023、2024、2025年分别为1,886.85亿元、1,239.07亿元、1,280.45亿元，政府性基金收入较2023年累计下降32%、土地财政贡献度弱化，反映地方综合财力对房地产周期的敞口。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图表：2023-2025年成都市财政收入情况(单位:亿元、%)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1,929.06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1,949.50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1,449.38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1,373.64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1,408.87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2,586.83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2,610.39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1,886.85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1,239.07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-34.33%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资料来源:成都市财政决算、企业预警通,风控信评部整理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成都市经营性用地成交价分别为1,799.45亿元、1,628.39亿元、1,353.66亿元、809.38亿元、969.23亿元，2025年较2021年下降46.14%；同期平均溢价率为4.42%、2.64%、7.37%、6.85%、9.99%；成交楼面均价由3,290元/㎡降至2,316元/㎡、累计下降29.60%。2026年1-4月，成都市经营性用地累计成交77宗、规划建面696.33万㎡、成交价119.57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图表:2021-2025年成都市土地出让情况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5,466.08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3,290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1,799.45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6,829.30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2,371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1,628.39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6,591.55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1,353.66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3,381.18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2,391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809.38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4,175.33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969.23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696.33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119.57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成都市商品住宅成交面积由2,513.57万㎡变动至1,181.17万㎡、累计下降53.0%；新房均价2025年为18,850元/㎡、较2023年高点(19,159元/㎡)累计下跌1.61%；2025年去化周期24.02个月。据中指冰山指数(最低挂牌价口径)，成都二手房挂牌价较2018年7月高点累计下跌23.25%，2023年累计跌幅-5.52%、2024年累计跌幅-7.43%、2025年累计跌幅-6.37%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成都市地方政府债务余额分别为5,228.70亿元、6,206.60亿元、7,223.90亿元，2025年末债务限额7,814.90亿元，债务余额控制在限额以内；城投有息债务2025年末估算余额35,654.18亿元。债务率指标看，2025年末政府债务率155.75%、城投债务率768.71%、宽口径债务率924.46%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成都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