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攀枝花市信用评级报告(区域部分)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攀枝花经济总量列四川省第15位，人均GDP约11.50万元、人均经济实力居全省前列，经济增速由6.50%回落至3.20%、有所放缓；固定资产投资最新增速4.70%，经济运行总体平稳。【待补充：攀枝花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攀枝花市2023、2024、2025年地区生产总值分别为1,324.12亿元、1,375.14亿元、1,409.57亿元，同比增长6.50%、6.20%、3.20%。截至2025年末，全市常住人口122.20万人，人均GDP约11.50万元。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产业结构方面，2025年攀枝花市三次产业结构为7.3:54.8:37.9。【待补充：支柱产业、主要龙头企业、对外贸易等定性描述（数据库未覆盖）】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2023、2024、2025年固定资产投资增速分别为11.30%、5.60%、4.70%，2025年社会消费品零售总额388.82亿元，进出口总额4.16亿美元。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图表：2025年四川省各地级市主要经济指标对比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成都市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24,763.60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2.2:27.9:69.9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2153.50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4,600.66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7.8:40:52.2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227.62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4,134.73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8.7:48.2:43.1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3,387.10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8.2:49.5:42.3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3,004.29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8.9:46.6:44.5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达州市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2,990.90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14.3:28.1:57.6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南充市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2,901.76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凉山彝族自治州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20.6:32.3:47.1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10.7:38.7:50.6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内江市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2,050.66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13.4:34.4:52.2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眉山市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11.8:39.6:48.6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自贡市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11.9:28.2:59.9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遂宁市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10.6:42.9:46.5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274.70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1,700.87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13.7:28.2:58.1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攀枝花市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1,409.57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7.3:54.8:37.9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广元市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16.3:32.3:51.4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1,150.81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18.8:28.3:52.9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雅安市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1,131.60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14.2:31.1:54.7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21.6:19.1:59.3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甘孜藏族自治州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613.11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15.06:30.27:54.67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阿坝藏族羌族自治州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601.19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19.4:23.6:57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攀枝花市2025年GDP总量1,409.57亿元、列全省第15位，一般公共预算收入105.18亿元、列全省第13位。整体来看，攀枝花市经济基本面在四川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攀枝花市财政体量在四川省处于中游，税收占比52.84%、税收占比处于一般水平，但政府性基金收入较2023年累计下降29%、土地财政贡献度弱化；2025年末宽口径债务率580.69%、处于偏高水平，已显著高于公认的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攀枝花市一般公共预算收入分别为101.23亿元、102.58亿元、105.18亿元，其中税收收入54.87亿元、56.29亿元、55.58亿元，税收占比维持在54.20%、54.87%、52.84%；一般公共预算支出175.81亿元、191.92亿元、196.52亿元，财政自给率57.58%、53.45%、53.52%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政府性基金收入方面，2023、2024、2025年分别为24.52亿元、21.21亿元、17.39亿元，政府性基金收入较2023年累计下降29%、土地财政贡献度弱化，反映地方综合财力对房地产周期的敞口。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图表：2023-2025年攀枝花市财政收入情况(单位:亿元、%)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101.23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102.58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-1.26%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191.92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196.52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2.40%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57.58%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53.45%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-18.01%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资料来源:攀枝花市财政决算、企业预警通,风控信评部整理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土地市场方面，【待补充:攀枝花市土地出让与房地产销售数据（土地市场数据库未覆盖该市）】。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攀枝花市地方政府债务余额分别为260.20亿元、336.40亿元、415.80亿元，2025年末债务限额455.70亿元，债务余额控制在限额以内；城投有息债务2025年末估算余额303.24亿元。债务率指标看，2025年末政府债务率335.80%、城投债务率244.89%、宽口径债务率580.69%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攀枝花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