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眉山市信用评级报告(区域部分)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眉山经济总量列四川省第11位，人均GDP约6.83万元、人均经济实力居全省中游，经济增速由6.20%回升至7.10%、动能边际改善；固定资产投资最新增速1.10%，经济运行总体平稳。【待补充：眉山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眉山市2023、2024、2025年地区生产总值分别为1,773.64亿元、1,880.10亿元、2,008.72亿元，同比增长6.20%、6.90%、7.10%。截至2025年末，全市常住人口292.20万人，人均GDP约6.83万元。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产业结构方面，2025年眉山市三次产业结构为11.8:39.6:48.6。【待补充：支柱产业、主要龙头企业、对外贸易等定性描述（数据库未覆盖）】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2023、2024、2025年固定资产投资增速分别为10.80%、6.00%、1.10%，2025年社会消费品零售总额738.10亿元，进出口总额16.95亿美元。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眉山市2025年GDP总量2,008.72亿元、列全省第11位，一般公共预算收入164.47亿元、列全省第九位。整体来看，眉山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眉山市财政体量在四川省处于中游，税收占比45.04%、税收占比处于一般水平，但政府性基金收入较2023年累计下降36%、土地财政贡献度弱化；2025年末宽口径债务率757.69%、处于偏高水平，已显著高于公认的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眉山市一般公共预算收入分别为159.84亿元、160.65亿元、164.47亿元，其中税收收入84.06亿元、73.24亿元、74.08亿元，税收占比维持在52.59%、45.59%、45.04%；一般公共预算支出369.21亿元、351.86亿元、353.54亿元，财政自给率43.29%、45.66%、46.52%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政府性基金收入方面，2023、2024、2025年分别为243.64亿元、170.87亿元、155.45亿元，政府性基金收入较2023年累计下降36%、土地财政贡献度弱化，反映地方综合财力对房地产周期的敞口。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图表：2023-2025年眉山市财政收入情况(单位:亿元、%)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159.84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369.21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0.48%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243.64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-29.87%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-9.02%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资料来源:眉山市财政决算、企业预警通,风控信评部整理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土地市场方面，【待补充:眉山市土地出让与房地产销售数据（土地市场数据库未覆盖该市）】。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眉山市地方政府债务余额分别为716.40亿元、844.60亿元、984.10亿元，2025年末债务限额1,040.50亿元，债务余额控制在限额以内；城投有息债务2025年末估算余额1,476.20亿元。债务率指标看，2025年末政府债务率303.07%、城投债务率454.62%、宽口径债务率757.69%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眉山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