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绵阳市信用评级报告(区域部分)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绵阳经济总量列四川省第二位，人均GDP约9.33万元、人均经济实力居全省前列，经济增速由8.00%回落至6.50%、有所放缓；固定资产投资最新增速2.60%，经济运行总体平稳。【待补充：绵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绵阳市2023、2024、2025年地区生产总值分别为4,096.82亿元、4,338.10亿元、4,600.66亿元，同比增长8.00%、6.90%、6.50%。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产业结构方面，2025年绵阳市三次产业结构为7.8:40:52.2。【待补充：支柱产业、主要龙头企业、对外贸易等定性描述（数据库未覆盖）】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2023、2024、2025年固定资产投资增速分别为11.10%、6.00%、2.60%，2025年社会消费品零售总额2,003.41亿元，进出口总额43.75亿美元。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绵阳市2025年GDP总量4,600.66亿元、列全省第二位，一般公共预算收入227.62亿元、列全省第五位。整体来看，绵阳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绵阳市财政体量在四川省处于中游，税收占比50.54%、税收占比处于一般水平，但政府性基金收入较2023年累计下降12%、土地财政贡献度弱化；2025年末宽口径债务率890.82%、处于偏高水平，已显著高于公认的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绵阳市一般公共预算收入分别为201.47亿元、216.67亿元、227.62亿元，其中税收收入113.24亿元、113.35亿元、115.04亿元，税收占比维持在56.21%、52.31%、50.54%；一般公共预算支出577.60亿元、593.00亿元、604.47亿元，财政自给率34.88%、36.54%、37.66%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政府性基金收入方面，2023、2024、2025年分别为206.01亿元、205.46亿元、180.68亿元，政府性基金收入较2023年累计下降12%、土地财政贡献度弱化，反映地方综合财力对房地产周期的敞口。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图表：2023-2025年绵阳市财政收入情况(单位:亿元、%)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180.68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-12.06%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资料来源:绵阳市财政决算、企业预警通,风控信评部整理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绵阳市经营性用地成交价分别为154.51亿元、163.88亿元、131.56亿元、98.52亿元、100.37亿元，2025年较2021年下降35.04%；同期平均溢价率为14.63%、5.23%、2.00%、7.82%、2.57%；成交楼面均价由1,054元/㎡降至653元/㎡、累计下降38.05%。2026年1-4月，绵阳市经营性用地累计成交11宗、规划建面67.35万㎡、成交价1.91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图表:2021-2025年绵阳市土地出让情况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1,466.40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154.51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2,151.19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163.88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1,790.69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1,427.21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98.52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1,525.92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100.37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1.91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从房地产销售看，2021-2025年绵阳市商品住宅成交面积由299.21万㎡变动至140.03万㎡、累计下降53.2%；新房均价2025年为8,595元/㎡、较2022年高点(9,014元/㎡)累计下跌4.65%。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绵阳市地方政府债务余额分别为1,065.70亿元、1,297.00亿元、1,537.02亿元，2025年末债务限额1,608.20亿元，债务余额控制在限额以内；城投有息债务2025年末估算余额2,160.09亿元。债务率指标看，2025年末政府债务率370.35%、城投债务率520.48%、宽口径债务率890.82%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绵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