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资阳市信用评级报告(区域部分)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资阳经济总量列四川省第17位，人均GDP约5.24万元、人均经济实力在省内相对靠后，经济增速维持在5.80%左右、总体平稳；固定资产投资最新增速转负（-13.70%），经济动能仍有待修复。【待补充：资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资阳市2023、2024、2025年地区生产总值分别为1,026.62亿元、1,088.89亿元、1,150.81亿元，同比增长5.80%、6.40%、5.80%。截至2025年末，全市常住人口219.50万人，人均GDP约5.24万元（按当年GDP与常住人口估算）。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产业结构方面，2025年资阳市三次产业结构为18.8:28.3:52.9。【待补充：支柱产业、主要龙头企业、对外贸易等定性描述（数据库未覆盖）】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2023、2024、2025年固定资产投资增速分别为6.00%、5.60%、-13.70%，2025年社会消费品零售总额422.90亿元，进出口总额9.52亿美元。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资阳市2025年GDP总量1,150.81亿元、列全省第17位，一般公共预算收入73.65亿元、列全省第19位。整体来看，资阳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资阳市财政体量在四川省处于中游，税收占比44.00%、税收占比处于一般水平，但政府性基金收入总体平稳；2025年末宽口径债务率272.59%、处于中等偏高水平，处于相对偏高区间，需关注债务扩张节奏。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资阳市一般公共预算收入分别为70.31亿元、72.14亿元、73.65亿元，其中税收收入37.31亿元、35.53亿元、32.41亿元，税收占比维持在53.07%、49.25%、44.00%；一般公共预算支出255.23亿元、236.09亿元、239.37亿元，财政自给率27.55%、30.56%、30.77%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政府性基金收入方面，2023、2024、2025年分别为142.61亿元、150.33亿元、141.73亿元，政府性基金收入总体平稳，反映地方综合财力对房地产周期的敞口。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图表：2023-2025年资阳市财政收入情况(单位:亿元、%)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-8.78%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239.37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-5.72%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资料来源:资阳市财政决算、企业预警通,风控信评部整理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土地市场方面，【待补充:资阳市土地出让与房地产销售数据（土地市场数据库未覆盖该市）】。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资阳市地方政府债务余额分别为566.50亿元、669.60亿元、765.60亿元，2025年末债务限额801.10亿元，债务余额控制在限额以内；城投有息债务2025年末估算余额410.22亿元。债务率指标看，2025年末政府债务率177.49%、城投债务率95.10%、宽口径债务率272.59%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资阳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