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雅安市信用评级报告(区域部分)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雅安经济总量列四川省第18位，人均GDP约7.95万元、人均经济实力居全省中游，经济增速维持在5.70%左右、总体平稳；固定资产投资最新增速0.50%，经济运行总体平稳。【待补充：雅安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雅安市2023、2024、2025年地区生产总值分别为1,018.07亿元、1,084.02亿元、1,131.60亿元，同比增长5.80%、6.60%、5.70%。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产业结构方面，2025年雅安市三次产业结构为14.2:31.1:54.7。【待补充：支柱产业、主要龙头企业、对外贸易等定性描述（数据库未覆盖）】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2023、2024、2025年固定资产投资增速分别为7.00%、1.00%、0.50%，2025年社会消费品零售总额347.06亿元，进出口总额4.84亿美元。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雅安市2025年GDP总量1,131.60亿元、列全省第18位，一般公共预算收入87.86亿元、列全省第15位。整体来看，雅安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雅安市财政体量在四川省处于中游，税收占比52.84%、税收占比处于一般水平，但政府性基金收入总体平稳；2025年末宽口径债务率187.25%、处于可控水平，整体处于可控水平。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雅安市一般公共预算收入分别为78.79亿元、84.03亿元、87.86亿元，其中税收收入44.80亿元、44.49亿元、46.43亿元，税收占比维持在56.86%、52.94%、52.84%；一般公共预算支出223.97亿元、261.91亿元、251.34亿元，财政自给率35.18%、32.08%、34.96%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政府性基金收入方面，2023、2024、2025年分别为39.22亿元、42.20亿元、37.92亿元，政府性基金收入总体平稳，反映地方综合财力对房地产周期的敞口。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图表：2023-2025年雅安市财政收入情况(单位:亿元、%)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-10.14%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资料来源:雅安市财政决算、企业预警通,风控信评部整理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土地市场方面，【待补充:雅安市土地出让与房地产销售数据（土地市场数据库未覆盖该市）】。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雅安市地方政府债务余额分别为367.30亿元、440.70亿元、517.60亿元，2025年末债务限额540.20亿元，债务余额控制在限额以内；城投有息债务2025年末估算余额116.40亿元。债务率指标看，2025年末政府债务率152.87%、城投债务率34.38%、宽口径债务率187.25%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雅安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