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中卫市信用评级报告(区域部分)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中卫经济总量列宁夏回族自治区第三位，人均GDP约5.84万元、人均经济实力在省内相对靠后，经济增速由7.00%回落至6.00%、有所放缓；固定资产投资最新增速26.90%，经济运行总体平稳。【待补充：中卫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中卫市2023、2024、2025年地区生产总值分别为577.95亿元、603.49亿元、633.38亿元，同比增长7.00%、6.00%、6.00%。截至2025年末，全市常住人口108.93万人，人均GDP约5.84万元。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产业结构方面，2025年中卫市三次产业结构为14.9:30.5:54.6。【待补充：支柱产业、主要龙头企业、对外贸易等定性描述（数据库未覆盖）】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2023、2024、2025年固定资产投资增速分别为-6.80%、17.00%、26.90%，2025年社会消费品零售总额152.46亿元，进出口总额3.44亿美元。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图表：2025年宁夏回族自治区各地级市主要经济指标对比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银川市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3,033.52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3.4:45.7:50.9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294.26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吴忠市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14.1:42:43.9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中卫市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14.9:30.5:54.6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石嘴山市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7.9:46.5:45.6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固原市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18.7:22.3:59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113.38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中卫市2025年GDP总量633.38亿元、列全省第三位，一般公共预算收入31.99亿元、列全省第三位。整体来看，中卫市经济基本面在宁夏回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中卫市财政体量在宁夏回族自治区位居前列，税收占比83.87%、税收质量较好，但政府性基金收入较2023年累计增长25%；2025年末宽口径债务率687.43%、处于偏高水平，已显著高于公认的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中卫市一般公共预算收入分别为23.17亿元、25.38亿元、31.99亿元，其中税收收入14.32亿元、17.10亿元、26.83亿元，税收占比维持在61.79%、67.36%、83.87%；一般公共预算支出211.86亿元、202.49亿元、212.71亿元，财政自给率10.94%、12.53%、15.04%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政府性基金收入方面，2023、2024、2025年分别为8.24亿元、11.45亿元、10.32亿元，政府性基金收入较2023年累计增长25%，反映地方综合财力对房地产周期的敞口。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图表：2023-2025年中卫市财政收入情况(单位:亿元、%)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212.71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-9.87%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资料来源:中卫市财政决算、企业预警通,风控信评部整理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土地市场方面，【待补充:中卫市土地出让与房地产销售数据（土地市场数据库未覆盖该市）】。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中卫市地方政府债务余额分别为205.63亿元、225.10亿元、266.63亿元，2025年末债务限额282.90亿元，债务余额控制在限额以内；城投有息债务2025年末估算余额24.32亿元。债务率指标看，2025年末政府债务率629.97%、城投债务率57.46%、宽口径债务率687.43%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中卫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