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亳州市信用评级报告(区域部分)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亳州经济总量列安徽省第七位，人均GDP约—万元、人均经济实力居省内中游，经济增速由6.40%回落至4.80%、有所放缓；固定资产投资最新增速转负（-6.40%），经济动能仍有待修复。【待补充：亳州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亳州市2023、2024、2025年地区生产总值分别为2,382.08亿元、2,521.63亿元、2,621.10亿元，同比增长6.40%、6.10%、4.80%。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产业结构方面，2025年亳州市三次产业结构为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2023、2024、2025年固定资产投资增速分别为10.50%、7.30%、-6.40%，2025年社会消费品零售总额1,415.60亿元，进出口总额5.30亿美元。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图表：2025年安徽省各地级市主要经济指标对比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合肥市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2.4:36.7:60.9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芜湖市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5,402.69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滁州市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11.3:29.7:59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马鞍山市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3.9:41.3:54.8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2,538.40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14:30.1:55.9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蚌埠市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11.7:30.3:58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11.9:35:53.1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宣城市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2,148.60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1,419.15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6.4:38:55.6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铜陵市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7.1:31:61.9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亳州市2025年GDP总量2,621.10亿元、列全省第七位，一般公共预算收入173.90亿元、列全省第十位。整体来看，亳州市经济基本面在安徽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亳州市财政体量在安徽省处于中游，税收占比52.34%、税收占比处于一般水平；2025年末宽口径债务率1292.59%、处于偏高水平，已显著高于公认的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亳州市一般公共预算收入分别为160.04亿元、168.84亿元、173.90亿元，其中税收收入98.25亿元、96.22亿元、91.01亿元，税收占比维持在61.39%、56.99%、52.34%；一般公共预算支出412.92亿元、416.44亿元、428.97亿元，财政自给率38.76%、40.54%、40.54%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图表：2023-2025年亳州市财政收入情况(单位:亿元、%)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-5.41%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412.92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416.44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428.97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资料来源:亳州市财政决算、企业预警通,风控信评部整理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土地市场方面，【待补充:亳州市土地出让与房地产销售数据（土地市场数据库未覆盖该市）】。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亳州市地方政府债务余额分别为986.04亿元、1,114.10亿元、1,217.60亿元，2025年末债务限额1,228.32亿元，债务余额控制在限额以内；城投有息债务2025年末估算余额1,030.25亿元。债务率指标看，2025年末政府债务率700.16%、城投债务率592.42%、宽口径债务率1292.59%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亳州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