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六安市信用评级报告(区域部分)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六安经济总量列安徽省第十位，人均GDP约—万元、人均经济实力居省内中游，经济增速由6.10%回落至5.40%、有所放缓；固定资产投资最新增速转负（-5.30%），经济动能仍有待修复。【待补充：六安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六安市2023、2024、2025年地区生产总值分别为2,201.60亿元、2,307.50亿元、2,407.30亿元，同比增长6.10%、5.40%、5.40%。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产业结构方面，2025年六安市三次产业结构为11.9:35:53.1。【待补充：支柱产业、主要龙头企业、对外贸易等定性描述（数据库未覆盖）】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2023、2024、2025年固定资产投资增速分别为9.00%、8.30%、-5.30%，2025年社会消费品零售总额1,277.80亿元，进出口总额11.11亿美元。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图表：2025年安徽省各地级市主要经济指标对比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合肥市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14,210.00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2.4:36.7:60.9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977.30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芜湖市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5,402.69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439.60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滁州市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4,221.10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310.40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阜阳市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3,777.60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11.3:29.7:59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201.00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安庆市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3,306.08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210.50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马鞍山市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2,920.90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3.9:41.3:54.8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225.60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亳州市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2,621.10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173.90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宿州市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2,538.40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14:30.1:55.9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151.37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蚌埠市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2,421.10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11.7:30.3:58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190.72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六安市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2,407.30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11.9:35:53.1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184.20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宣城市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2,148.60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8.7:43.1:48.2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淮南市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1,750.10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139.00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淮北市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1,419.15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6.4:38:55.6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110.09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铜陵市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1,415.40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122.40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池州市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1,225.00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100.76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黄山市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1,204.90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7.1:31:61.9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六安市2025年GDP总量2,407.30亿元、列全省第十位，一般公共预算收入184.20亿元、列全省第九位。整体来看，六安市经济基本面在安徽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六安市财政体量在安徽省处于中游，税收占比59.19%、税收占比处于一般水平，但政府性基金收入较2023年累计下降52%、土地财政贡献度弱化；2025年末宽口径债务率903.40%、处于偏高水平，已显著高于公认的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六安市一般公共预算收入分别为173.61亿元、178.82亿元、184.20亿元，其中税收收入114.29亿元、106.22亿元、109.03亿元，税收占比维持在65.83%、59.40%、59.19%；一般公共预算支出608.88亿元、596.96亿元、587.34亿元，财政自给率28.51%、29.96%、31.36%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政府性基金收入方面，2023、2024、2025年分别为85.03亿元、56.34亿元、41.00亿元，政府性基金收入较2023年累计下降52%、土地财政贡献度弱化，反映地方综合财力对房地产周期的敞口。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图表：2023-2025年六安市财政收入情况(单位:亿元、%)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173.61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7.65%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178.82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184.20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114.29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106.22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-7.06%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109.03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2.65%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65.83%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59.19%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608.88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596.96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-1.96%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587.34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-1.61%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28.51%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29.96%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31.36%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-33.74%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-27.23%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资料来源:六安市财政决算、企业预警通,风控信评部整理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土地市场方面，【待补充:六安市土地出让与房地产销售数据（土地市场数据库未覆盖该市）】。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六安市地方政府债务余额分别为1,089.91亿元、1,238.40亿元、1,418.81亿元，2025年末债务限额1,437.24亿元，债务余额控制在限额以内；城投有息债务2025年末估算余额891.75亿元。债务率指标看，2025年末政府债务率554.73%、城投债务率348.66%、宽口径债务率903.40%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六安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