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合肥市信用评级报告(区域部分)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合肥经济总量在安徽省稳居第一，人均GDP约—万元、人均经济实力居省内中游，经济增速维持在6.10%左右、总体平稳；固定资产投资最新增速转负（-16.50%），经济动能仍有待修复。【待补充：合肥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合肥市2023、2024、2025年地区生产总值分别为12,787.30亿元、13,507.69亿元、14,210.00亿元，同比增长5.90%、6.10%、6.10%。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产业结构方面，2025年合肥市三次产业结构为2.4:36.7:60.9。【待补充：支柱产业、主要龙头企业、对外贸易等定性描述（数据库未覆盖）】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2023、2024、2025年固定资产投资增速分别为3.00%、3.30%、-16.50%，2025年社会消费品零售总额5,320.90亿元，进出口总额636.23亿美元。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合肥市2025年GDP总量14,210.00亿元、列全省第一位，一般公共预算收入977.30亿元、列全省第一位。整体来看，合肥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合肥市财政体量在安徽省稳居第一，税收占比71.44%、税收质量较好，但政府性基金收入较2023年累计下降39%、土地财政贡献度弱化；2025年末宽口径债务率591.64%、处于偏高水平，已显著高于公认的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合肥市一般公共预算收入分别为929.63亿元、955.01亿元、977.30亿元，其中税收收入674.03亿元、675.21亿元、698.20亿元，税收占比维持在72.51%、70.70%、71.44%；一般公共预算支出1,411.34亿元、1,581.10亿元、1,558.60亿元，财政自给率65.87%、60.40%、62.70%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政府性基金收入方面，2023、2024、2025年分别为652.26亿元、606.24亿元、396.10亿元，政府性基金收入较2023年累计下降39%、土地财政贡献度弱化，反映地方综合财力对房地产周期的敞口。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图表：2023-2025年合肥市财政收入情况(单位:亿元、%)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955.01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674.03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675.21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1,558.60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-34.66%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资料来源:合肥市财政决算、企业预警通,风控信评部整理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合肥市经营性用地成交价分别为898.12亿元、1,072.66亿元、649.14亿元、626.61亿元、324.02亿元，2025年较2021年下降63.92%；同期平均溢价率为14.44%、6.68%、11.79%、7.27%、1.65%；成交楼面均价由3,627元/㎡降至1,408元/㎡、累计下降61.18%。2026年1-4月，合肥市经营性用地累计成交84宗、规划建面429.01万㎡、成交价39.10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图表:2021-2025年合肥市土地出让情况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2,476.40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898.12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4,825.98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1,072.66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2,562.91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11.79%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649.14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1,928.81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3,249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626.61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2,300.46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324.02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429.01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39.10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合肥市商品住宅成交面积由939.87万㎡变动至225.82万㎡、累计下降76.0%；新房均价2025年为21,399元/㎡、较2023年高点(21,858元/㎡)累计下跌2.10%；2025年去化周期21.55个月。据中指冰山指数(最低挂牌价口径)，合肥二手房挂牌价较2021年8月高点累计下跌45.37%，2023年累计跌幅-11.65%、2024年累计跌幅-15.45%、2025年累计跌幅-21.83%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合肥市地方政府债务余额分别为2,259.16亿元、2,749.76亿元、3,194.76亿元，2025年末债务限额3,236.54亿元，债务余额控制在限额以内；城投有息债务2025年末估算余额5,504.09亿元。债务率指标看，2025年末政府债务率217.29%、城投债务率374.35%、宽口径债务率591.64%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合肥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