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安庆市信用评级报告(区域部分)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安庆经济总量列安徽省第五位，人均GDP约8.07万元、人均经济实力居全省中游，经济增速维持在5.70%左右、总体平稳；固定资产投资最新增速转负（-0.40%），经济动能仍有待修复。【待补充：安庆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安庆市2023、2024、2025年地区生产总值分别为2,983.86亿元、3,156.05亿元、3,306.08亿元，同比增长5.80%、6.00%、5.70%。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产业结构方面，2025年安庆市三次产业结构为 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2023、2024、2025年固定资产投资增速分别为10.20%、7.40%、-0.40%，2025年社会消费品零售总额1,526.65亿元，进出口总额44.01亿美元。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图表：2025年安徽省各地级市主要经济指标对比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合肥市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14,210.00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2.4:36.7:60.9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芜湖市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5,402.69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滁州市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阜阳市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11.3:29.7:59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3,306.08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马鞍山市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3.9:41.3:54.8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2,538.40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14:30.1:55.9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151.37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蚌埠市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11.7:30.3:58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六安市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11.9:35:53.1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宣城市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2,148.60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1,750.10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1,419.15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6.4:38:55.6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铜陵市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1,415.40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7.1:31:61.9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安庆市2025年GDP总量3,306.08亿元、列全省第五位，一般公共预算收入210.50亿元、列全省第五位。整体来看，安庆市经济基本面在安徽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安庆市财政体量在安徽省处于中游，税收占比72.83%、税收质量较好，但政府性基金收入较2023年累计下降59%、土地财政贡献度弱化；2025年末宽口径债务率985.00%、处于偏高水平，已显著高于公认的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安庆市一般公共预算收入分别为193.50亿元、203.40亿元、210.50亿元，其中税收收入141.10亿元、154.00亿元、153.30亿元，税收占比维持在72.92%、75.71%、72.83%；一般公共预算支出548.30亿元、578.50亿元、585.10亿元，财政自给率35.29%、35.16%、35.98%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政府性基金收入方面，2023、2024、2025年分别为98.30亿元、51.60亿元、40.40亿元，政府性基金收入较2023年累计下降59%、土地财政贡献度弱化，反映地方综合财力对房地产周期的敞口。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图表：2023-2025年安庆市财政收入情况(单位:亿元、%)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154.00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-0.45%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72.92%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578.50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1.14%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35.16%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-47.51%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-21.71%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资料来源:安庆市财政决算、企业预警通,风控信评部整理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土地市场方面，【待补充:安庆市土地出让与房地产销售数据（土地市场数据库未覆盖该市）】。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安庆市地方政府债务余额分别为910.11亿元、1,175.61亿元、1,364.40亿元，2025年末债务限额1,389.60亿元，债务余额控制在限额以内；城投有息债务2025年末估算余额1,213.35亿元。债务率指标看，2025年末政府债务率521.36%、城投债务率463.64%、宽口径债务率985.00%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安庆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